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FADD6" w14:textId="77777777" w:rsidR="002B5470" w:rsidRDefault="002B5470">
      <w:pPr>
        <w:pStyle w:val="BodyText"/>
        <w:spacing w:before="6"/>
        <w:ind w:left="0"/>
        <w:rPr>
          <w:rFonts w:ascii="Times New Roman"/>
          <w:sz w:val="27"/>
        </w:rPr>
      </w:pPr>
    </w:p>
    <w:p w14:paraId="2C1CDEF5" w14:textId="77777777" w:rsidR="002B5470" w:rsidRDefault="00C93594">
      <w:pPr>
        <w:tabs>
          <w:tab w:val="left" w:pos="1786"/>
          <w:tab w:val="left" w:pos="10968"/>
        </w:tabs>
        <w:spacing w:before="27"/>
        <w:ind w:left="111"/>
        <w:rPr>
          <w:b/>
          <w:sz w:val="36"/>
        </w:rPr>
      </w:pPr>
      <w:r>
        <w:rPr>
          <w:b/>
          <w:color w:val="1F4E79"/>
          <w:sz w:val="36"/>
          <w:shd w:val="clear" w:color="auto" w:fill="D9D9D9"/>
        </w:rPr>
        <w:t xml:space="preserve"> </w:t>
      </w:r>
      <w:r>
        <w:rPr>
          <w:b/>
          <w:color w:val="1F4E79"/>
          <w:sz w:val="36"/>
          <w:shd w:val="clear" w:color="auto" w:fill="D9D9D9"/>
        </w:rPr>
        <w:tab/>
        <w:t>RESEARCH ETHICS BOARD – TERMS OF</w:t>
      </w:r>
      <w:r>
        <w:rPr>
          <w:b/>
          <w:color w:val="1F4E79"/>
          <w:spacing w:val="-21"/>
          <w:sz w:val="36"/>
          <w:shd w:val="clear" w:color="auto" w:fill="D9D9D9"/>
        </w:rPr>
        <w:t xml:space="preserve"> </w:t>
      </w:r>
      <w:r>
        <w:rPr>
          <w:b/>
          <w:color w:val="1F4E79"/>
          <w:sz w:val="36"/>
          <w:shd w:val="clear" w:color="auto" w:fill="D9D9D9"/>
        </w:rPr>
        <w:t>REFERENCE</w:t>
      </w:r>
      <w:r>
        <w:rPr>
          <w:b/>
          <w:color w:val="1F4E79"/>
          <w:sz w:val="36"/>
          <w:shd w:val="clear" w:color="auto" w:fill="D9D9D9"/>
        </w:rPr>
        <w:tab/>
      </w:r>
    </w:p>
    <w:p w14:paraId="6AA22C5A" w14:textId="77777777" w:rsidR="002B5470" w:rsidRDefault="00C93594">
      <w:pPr>
        <w:pStyle w:val="Heading1"/>
        <w:numPr>
          <w:ilvl w:val="1"/>
          <w:numId w:val="8"/>
        </w:numPr>
        <w:tabs>
          <w:tab w:val="left" w:pos="467"/>
        </w:tabs>
        <w:spacing w:before="198"/>
      </w:pPr>
      <w:r>
        <w:t>POLICY</w:t>
      </w:r>
    </w:p>
    <w:p w14:paraId="6A8C603E" w14:textId="1C79BA15" w:rsidR="002B5470" w:rsidRDefault="00C93594">
      <w:pPr>
        <w:pStyle w:val="ListParagraph"/>
        <w:numPr>
          <w:ilvl w:val="1"/>
          <w:numId w:val="8"/>
        </w:numPr>
        <w:tabs>
          <w:tab w:val="left" w:pos="515"/>
        </w:tabs>
        <w:spacing w:before="178" w:line="259" w:lineRule="auto"/>
        <w:ind w:left="139" w:right="249" w:firstLine="0"/>
      </w:pPr>
      <w:r>
        <w:t>The Board of Trustees of the Royal Ottawa Health Care Group (ROHCG) delegates to the Royal’s Research Ethics Board (REB) responsibility for the review and ethics oversight of all research involving human participants at The Royal Ottawa Mental Health Centre (ROMHC), The Institute of Mental Health Research (IMHR), The Royal Brockville Mental Health Centre (BMHC), the Community Mental Health Program (</w:t>
      </w:r>
      <w:proofErr w:type="spellStart"/>
      <w:r>
        <w:t>Carlingwood</w:t>
      </w:r>
      <w:proofErr w:type="spellEnd"/>
      <w:r>
        <w:t xml:space="preserve">), and the </w:t>
      </w:r>
      <w:r w:rsidR="005C6294" w:rsidRPr="005A1859">
        <w:t>Atlas Institute for Veterans and</w:t>
      </w:r>
      <w:r w:rsidR="005C6294">
        <w:t xml:space="preserve"> </w:t>
      </w:r>
      <w:r w:rsidR="005C6294" w:rsidRPr="005A1859">
        <w:t>Families</w:t>
      </w:r>
      <w:r w:rsidR="005C6294" w:rsidDel="005C6294">
        <w:t xml:space="preserve"> </w:t>
      </w:r>
      <w:r>
        <w:t>(</w:t>
      </w:r>
      <w:r w:rsidR="005C6294">
        <w:t>Atlas</w:t>
      </w:r>
      <w:r>
        <w:t>).</w:t>
      </w:r>
      <w:r>
        <w:rPr>
          <w:spacing w:val="-1"/>
        </w:rPr>
        <w:t xml:space="preserve"> </w:t>
      </w:r>
      <w:r>
        <w:t>This</w:t>
      </w:r>
      <w:r>
        <w:rPr>
          <w:spacing w:val="-3"/>
        </w:rPr>
        <w:t xml:space="preserve"> </w:t>
      </w:r>
      <w:r>
        <w:t>delegation</w:t>
      </w:r>
      <w:r>
        <w:rPr>
          <w:spacing w:val="-3"/>
        </w:rPr>
        <w:t xml:space="preserve"> </w:t>
      </w:r>
      <w:r>
        <w:t>may</w:t>
      </w:r>
      <w:r>
        <w:rPr>
          <w:spacing w:val="-2"/>
        </w:rPr>
        <w:t xml:space="preserve"> </w:t>
      </w:r>
      <w:r>
        <w:t>extend</w:t>
      </w:r>
      <w:r>
        <w:rPr>
          <w:spacing w:val="-4"/>
        </w:rPr>
        <w:t xml:space="preserve"> </w:t>
      </w:r>
      <w:r>
        <w:t>to</w:t>
      </w:r>
      <w:r>
        <w:rPr>
          <w:spacing w:val="-4"/>
        </w:rPr>
        <w:t xml:space="preserve"> </w:t>
      </w:r>
      <w:r>
        <w:t>other</w:t>
      </w:r>
      <w:r>
        <w:rPr>
          <w:spacing w:val="-3"/>
        </w:rPr>
        <w:t xml:space="preserve"> </w:t>
      </w:r>
      <w:r>
        <w:t>institutions</w:t>
      </w:r>
      <w:r>
        <w:rPr>
          <w:spacing w:val="2"/>
        </w:rPr>
        <w:t xml:space="preserve"> </w:t>
      </w:r>
      <w:r>
        <w:t>such</w:t>
      </w:r>
      <w:r>
        <w:rPr>
          <w:spacing w:val="-3"/>
        </w:rPr>
        <w:t xml:space="preserve"> </w:t>
      </w:r>
      <w:r>
        <w:t>as</w:t>
      </w:r>
      <w:r>
        <w:rPr>
          <w:spacing w:val="-3"/>
        </w:rPr>
        <w:t xml:space="preserve"> </w:t>
      </w:r>
      <w:r>
        <w:t>for applications submitted by members of the University of Ottawa (UO) and Carleton University (CU) who are involved in partnerships with the</w:t>
      </w:r>
      <w:r>
        <w:rPr>
          <w:spacing w:val="-8"/>
        </w:rPr>
        <w:t xml:space="preserve"> </w:t>
      </w:r>
      <w:r>
        <w:t>ROHCG.</w:t>
      </w:r>
    </w:p>
    <w:p w14:paraId="26552BC7" w14:textId="77777777" w:rsidR="002B5470" w:rsidRDefault="00C93594">
      <w:pPr>
        <w:pStyle w:val="ListParagraph"/>
        <w:numPr>
          <w:ilvl w:val="1"/>
          <w:numId w:val="8"/>
        </w:numPr>
        <w:tabs>
          <w:tab w:val="left" w:pos="514"/>
        </w:tabs>
        <w:spacing w:before="158" w:line="259" w:lineRule="auto"/>
        <w:ind w:left="138" w:right="505" w:firstLine="0"/>
      </w:pPr>
      <w:r>
        <w:t>The ROHCG Board of Trustees, through this policy, establishes a structure to provide the REB with the mandate, autonomy, jurisdiction and authority to provide research ethics oversight of research investigations, and takes reasonable measures to ensure that the roles and responsibilities of the REB are defined, resources are available and processes are in place to ensure compliance with relevant guidelines and applicable regulatory</w:t>
      </w:r>
      <w:r>
        <w:rPr>
          <w:spacing w:val="-32"/>
        </w:rPr>
        <w:t xml:space="preserve"> </w:t>
      </w:r>
      <w:r>
        <w:t>requirements.</w:t>
      </w:r>
    </w:p>
    <w:p w14:paraId="2C7D316F" w14:textId="0CB0F678" w:rsidR="002B5470" w:rsidRDefault="00C93594">
      <w:pPr>
        <w:pStyle w:val="ListParagraph"/>
        <w:numPr>
          <w:ilvl w:val="1"/>
          <w:numId w:val="8"/>
        </w:numPr>
        <w:tabs>
          <w:tab w:val="left" w:pos="514"/>
        </w:tabs>
        <w:spacing w:before="155" w:line="266" w:lineRule="auto"/>
        <w:ind w:left="138" w:right="485" w:firstLine="0"/>
      </w:pPr>
      <w:r>
        <w:t xml:space="preserve">The ROHCG Board of Trustees will receive quarterly updates on activities/issues of the REB from the REB Chair or </w:t>
      </w:r>
      <w:r w:rsidR="00114127" w:rsidRPr="00706FE6">
        <w:t>their</w:t>
      </w:r>
      <w:r>
        <w:t xml:space="preserve"> delegate at regular</w:t>
      </w:r>
      <w:r>
        <w:rPr>
          <w:spacing w:val="-11"/>
        </w:rPr>
        <w:t xml:space="preserve"> </w:t>
      </w:r>
      <w:r>
        <w:t>meetings.</w:t>
      </w:r>
    </w:p>
    <w:p w14:paraId="59DE3562" w14:textId="77777777" w:rsidR="002B5470" w:rsidRDefault="00C93594">
      <w:pPr>
        <w:pStyle w:val="ListParagraph"/>
        <w:numPr>
          <w:ilvl w:val="1"/>
          <w:numId w:val="8"/>
        </w:numPr>
        <w:tabs>
          <w:tab w:val="left" w:pos="513"/>
        </w:tabs>
        <w:spacing w:before="143" w:line="266" w:lineRule="auto"/>
        <w:ind w:left="138" w:right="229" w:firstLine="0"/>
      </w:pPr>
      <w:r>
        <w:t>The REB will deliver a written report of its operations and the ensuing issues and mitigation strategies quarterly and annually to the ROHCG Board of Trustees to ensure continuing accountability of its</w:t>
      </w:r>
      <w:r>
        <w:rPr>
          <w:spacing w:val="-23"/>
        </w:rPr>
        <w:t xml:space="preserve"> </w:t>
      </w:r>
      <w:r>
        <w:t>mandate.</w:t>
      </w:r>
    </w:p>
    <w:p w14:paraId="3CB2C412" w14:textId="04E47AFE" w:rsidR="002B5470" w:rsidRDefault="00C93594">
      <w:pPr>
        <w:pStyle w:val="ListParagraph"/>
        <w:numPr>
          <w:ilvl w:val="1"/>
          <w:numId w:val="8"/>
        </w:numPr>
        <w:tabs>
          <w:tab w:val="left" w:pos="513"/>
        </w:tabs>
        <w:spacing w:before="148" w:line="259" w:lineRule="auto"/>
        <w:ind w:left="137" w:right="278" w:firstLine="0"/>
      </w:pPr>
      <w:r>
        <w:t>Given the specific institutional eligibility requirements to administer grants funds (e.g. Canadian federal funding agencies (Tri-Council CIHR, NSERC, SSHRC * see section 2.0), and in line with the institutional policies on Responsible Conduct</w:t>
      </w:r>
      <w:r>
        <w:rPr>
          <w:spacing w:val="-5"/>
        </w:rPr>
        <w:t xml:space="preserve"> </w:t>
      </w:r>
      <w:r>
        <w:t>of</w:t>
      </w:r>
      <w:r>
        <w:rPr>
          <w:spacing w:val="-4"/>
        </w:rPr>
        <w:t xml:space="preserve"> </w:t>
      </w:r>
      <w:r>
        <w:t>Research</w:t>
      </w:r>
      <w:r>
        <w:rPr>
          <w:spacing w:val="1"/>
        </w:rPr>
        <w:t xml:space="preserve"> </w:t>
      </w:r>
      <w:r>
        <w:t>(ROHCG</w:t>
      </w:r>
      <w:r>
        <w:rPr>
          <w:spacing w:val="-2"/>
        </w:rPr>
        <w:t xml:space="preserve"> </w:t>
      </w:r>
      <w:r>
        <w:t>CORP</w:t>
      </w:r>
      <w:r>
        <w:rPr>
          <w:spacing w:val="-2"/>
        </w:rPr>
        <w:t xml:space="preserve"> </w:t>
      </w:r>
      <w:r>
        <w:t>III</w:t>
      </w:r>
      <w:r>
        <w:rPr>
          <w:spacing w:val="-1"/>
        </w:rPr>
        <w:t xml:space="preserve"> </w:t>
      </w:r>
      <w:r>
        <w:t>–</w:t>
      </w:r>
      <w:r>
        <w:rPr>
          <w:spacing w:val="-2"/>
        </w:rPr>
        <w:t xml:space="preserve"> </w:t>
      </w:r>
      <w:r>
        <w:t>140,</w:t>
      </w:r>
      <w:r>
        <w:rPr>
          <w:spacing w:val="-6"/>
        </w:rPr>
        <w:t xml:space="preserve"> </w:t>
      </w:r>
      <w:r>
        <w:t>UO</w:t>
      </w:r>
      <w:r>
        <w:rPr>
          <w:spacing w:val="-5"/>
        </w:rPr>
        <w:t xml:space="preserve"> </w:t>
      </w:r>
      <w:r>
        <w:t>Policy</w:t>
      </w:r>
      <w:r>
        <w:rPr>
          <w:spacing w:val="-2"/>
        </w:rPr>
        <w:t xml:space="preserve"> </w:t>
      </w:r>
      <w:r>
        <w:t>115), there</w:t>
      </w:r>
      <w:r>
        <w:rPr>
          <w:spacing w:val="-3"/>
        </w:rPr>
        <w:t xml:space="preserve"> </w:t>
      </w:r>
      <w:r>
        <w:t>is</w:t>
      </w:r>
      <w:r>
        <w:rPr>
          <w:spacing w:val="-3"/>
        </w:rPr>
        <w:t xml:space="preserve"> </w:t>
      </w:r>
      <w:r>
        <w:t>an</w:t>
      </w:r>
      <w:r>
        <w:rPr>
          <w:spacing w:val="-3"/>
        </w:rPr>
        <w:t xml:space="preserve"> </w:t>
      </w:r>
      <w:r>
        <w:t>indirect</w:t>
      </w:r>
      <w:r>
        <w:rPr>
          <w:spacing w:val="-5"/>
        </w:rPr>
        <w:t xml:space="preserve"> </w:t>
      </w:r>
      <w:r>
        <w:t>ad</w:t>
      </w:r>
      <w:r>
        <w:rPr>
          <w:spacing w:val="1"/>
        </w:rPr>
        <w:t xml:space="preserve"> </w:t>
      </w:r>
      <w:r>
        <w:t>hoc reporting</w:t>
      </w:r>
      <w:r>
        <w:rPr>
          <w:spacing w:val="-2"/>
        </w:rPr>
        <w:t xml:space="preserve"> </w:t>
      </w:r>
      <w:r>
        <w:t>arrangement</w:t>
      </w:r>
      <w:r>
        <w:rPr>
          <w:spacing w:val="-5"/>
        </w:rPr>
        <w:t xml:space="preserve"> </w:t>
      </w:r>
      <w:r>
        <w:t>in</w:t>
      </w:r>
      <w:r>
        <w:rPr>
          <w:spacing w:val="-4"/>
        </w:rPr>
        <w:t xml:space="preserve"> </w:t>
      </w:r>
      <w:r>
        <w:t>which the ROHCG REB and the University (UO) agree to inform each other, via the IMHR, of any issues arising relating to University research of which they become aware, including those relating to ethics, participant safety or scientific integrity. The reporting line is expressed in a MOU Authorization Agreement with regard to the University’s recognition of ethical approvals granted by the ROHCG REB, which involves research grant funding flowing from/to the University in which research is conducted by University of Ottawa-affiliated employees, academic staff, trainees, postdoctoral fellows and students at the</w:t>
      </w:r>
      <w:r>
        <w:rPr>
          <w:spacing w:val="-9"/>
        </w:rPr>
        <w:t xml:space="preserve"> </w:t>
      </w:r>
      <w:r>
        <w:t>ROHCG.</w:t>
      </w:r>
    </w:p>
    <w:p w14:paraId="3118CDB7" w14:textId="77777777" w:rsidR="002B5470" w:rsidRDefault="00C93594">
      <w:pPr>
        <w:pStyle w:val="ListParagraph"/>
        <w:numPr>
          <w:ilvl w:val="1"/>
          <w:numId w:val="8"/>
        </w:numPr>
        <w:tabs>
          <w:tab w:val="left" w:pos="512"/>
        </w:tabs>
        <w:spacing w:before="154" w:line="266" w:lineRule="auto"/>
        <w:ind w:left="137" w:right="605" w:firstLine="0"/>
      </w:pPr>
      <w:r>
        <w:t>The</w:t>
      </w:r>
      <w:r>
        <w:rPr>
          <w:spacing w:val="-3"/>
        </w:rPr>
        <w:t xml:space="preserve"> </w:t>
      </w:r>
      <w:r>
        <w:t>REB</w:t>
      </w:r>
      <w:r>
        <w:rPr>
          <w:spacing w:val="-2"/>
        </w:rPr>
        <w:t xml:space="preserve"> </w:t>
      </w:r>
      <w:r>
        <w:t>is</w:t>
      </w:r>
      <w:r>
        <w:rPr>
          <w:spacing w:val="-3"/>
        </w:rPr>
        <w:t xml:space="preserve"> </w:t>
      </w:r>
      <w:r>
        <w:t>responsible</w:t>
      </w:r>
      <w:r>
        <w:rPr>
          <w:spacing w:val="-2"/>
        </w:rPr>
        <w:t xml:space="preserve"> </w:t>
      </w:r>
      <w:r>
        <w:t>to</w:t>
      </w:r>
      <w:r>
        <w:rPr>
          <w:spacing w:val="-5"/>
        </w:rPr>
        <w:t xml:space="preserve"> </w:t>
      </w:r>
      <w:r>
        <w:t>ensure</w:t>
      </w:r>
      <w:r>
        <w:rPr>
          <w:spacing w:val="-2"/>
        </w:rPr>
        <w:t xml:space="preserve"> </w:t>
      </w:r>
      <w:r>
        <w:t>that research</w:t>
      </w:r>
      <w:r>
        <w:rPr>
          <w:spacing w:val="-3"/>
        </w:rPr>
        <w:t xml:space="preserve"> </w:t>
      </w:r>
      <w:r>
        <w:t>involving</w:t>
      </w:r>
      <w:r>
        <w:rPr>
          <w:spacing w:val="-2"/>
        </w:rPr>
        <w:t xml:space="preserve"> </w:t>
      </w:r>
      <w:r>
        <w:t>human</w:t>
      </w:r>
      <w:r>
        <w:rPr>
          <w:spacing w:val="-3"/>
        </w:rPr>
        <w:t xml:space="preserve"> </w:t>
      </w:r>
      <w:r>
        <w:t>participants</w:t>
      </w:r>
      <w:r>
        <w:rPr>
          <w:spacing w:val="-3"/>
        </w:rPr>
        <w:t xml:space="preserve"> </w:t>
      </w:r>
      <w:r>
        <w:t>meets</w:t>
      </w:r>
      <w:r>
        <w:rPr>
          <w:spacing w:val="-2"/>
        </w:rPr>
        <w:t xml:space="preserve"> </w:t>
      </w:r>
      <w:r>
        <w:t>current</w:t>
      </w:r>
      <w:r>
        <w:rPr>
          <w:spacing w:val="-5"/>
        </w:rPr>
        <w:t xml:space="preserve"> </w:t>
      </w:r>
      <w:r>
        <w:t>scientific</w:t>
      </w:r>
      <w:r>
        <w:rPr>
          <w:spacing w:val="-4"/>
        </w:rPr>
        <w:t xml:space="preserve"> </w:t>
      </w:r>
      <w:r>
        <w:t>and</w:t>
      </w:r>
      <w:r>
        <w:rPr>
          <w:spacing w:val="-4"/>
        </w:rPr>
        <w:t xml:space="preserve"> </w:t>
      </w:r>
      <w:r>
        <w:t>ethical research standards for the protection of human research</w:t>
      </w:r>
      <w:r>
        <w:rPr>
          <w:spacing w:val="-15"/>
        </w:rPr>
        <w:t xml:space="preserve"> </w:t>
      </w:r>
      <w:r>
        <w:t>participants.</w:t>
      </w:r>
    </w:p>
    <w:p w14:paraId="1F98C3E4" w14:textId="77777777" w:rsidR="002B5470" w:rsidRDefault="00C93594">
      <w:pPr>
        <w:pStyle w:val="ListParagraph"/>
        <w:numPr>
          <w:ilvl w:val="1"/>
          <w:numId w:val="8"/>
        </w:numPr>
        <w:tabs>
          <w:tab w:val="left" w:pos="512"/>
        </w:tabs>
        <w:spacing w:before="148"/>
        <w:ind w:left="511" w:hanging="375"/>
      </w:pPr>
      <w:r>
        <w:t>The IMHR will provide staff and resources to support the administrative tasks of the REB office</w:t>
      </w:r>
      <w:r>
        <w:rPr>
          <w:spacing w:val="-35"/>
        </w:rPr>
        <w:t xml:space="preserve"> </w:t>
      </w:r>
      <w:r>
        <w:t>functions.</w:t>
      </w:r>
    </w:p>
    <w:p w14:paraId="429FD692" w14:textId="77777777" w:rsidR="002B5470" w:rsidRDefault="00C93594">
      <w:pPr>
        <w:pStyle w:val="Heading1"/>
        <w:spacing w:before="183"/>
        <w:ind w:left="137" w:firstLine="0"/>
      </w:pPr>
      <w:r>
        <w:t>2.0 DEFINITIONS</w:t>
      </w:r>
    </w:p>
    <w:p w14:paraId="08F78997" w14:textId="77777777" w:rsidR="002B5470" w:rsidRDefault="00C93594" w:rsidP="005C6294">
      <w:pPr>
        <w:spacing w:before="178"/>
        <w:ind w:left="137" w:firstLine="5"/>
      </w:pPr>
      <w:r>
        <w:rPr>
          <w:b/>
        </w:rPr>
        <w:t xml:space="preserve">REB – </w:t>
      </w:r>
      <w:r>
        <w:t>Research Ethics Board</w:t>
      </w:r>
    </w:p>
    <w:p w14:paraId="1B662493" w14:textId="77777777" w:rsidR="005C6294" w:rsidRDefault="00C93594" w:rsidP="005C6294">
      <w:pPr>
        <w:pStyle w:val="BodyText"/>
        <w:spacing w:before="19" w:line="259" w:lineRule="auto"/>
        <w:ind w:left="136" w:right="6849" w:firstLine="5"/>
      </w:pPr>
      <w:r>
        <w:rPr>
          <w:b/>
        </w:rPr>
        <w:t xml:space="preserve">IMHR – </w:t>
      </w:r>
      <w:r>
        <w:t xml:space="preserve">Institute of Mental Health Research </w:t>
      </w:r>
      <w:r>
        <w:rPr>
          <w:b/>
        </w:rPr>
        <w:t xml:space="preserve">ROHCG – </w:t>
      </w:r>
      <w:r>
        <w:t xml:space="preserve">Royal Ottawa Health Care Group </w:t>
      </w:r>
      <w:r>
        <w:rPr>
          <w:b/>
        </w:rPr>
        <w:t xml:space="preserve">ROMHC - </w:t>
      </w:r>
      <w:r>
        <w:t xml:space="preserve">Royal Ottawa Mental Health Centre </w:t>
      </w:r>
    </w:p>
    <w:p w14:paraId="3895D027" w14:textId="77777777" w:rsidR="005C6294" w:rsidRPr="00804234" w:rsidRDefault="005C6294" w:rsidP="00804234">
      <w:pPr>
        <w:pStyle w:val="BodyText"/>
        <w:spacing w:before="19" w:line="259" w:lineRule="auto"/>
        <w:ind w:left="136" w:right="4701" w:firstLine="5"/>
        <w:rPr>
          <w:b/>
        </w:rPr>
      </w:pPr>
      <w:r>
        <w:rPr>
          <w:b/>
        </w:rPr>
        <w:t xml:space="preserve">Atlas – </w:t>
      </w:r>
      <w:r w:rsidRPr="005A1859">
        <w:t>Atlas Institute for Veterans and</w:t>
      </w:r>
      <w:r>
        <w:t xml:space="preserve"> </w:t>
      </w:r>
      <w:r w:rsidRPr="005A1859">
        <w:t>Families</w:t>
      </w:r>
    </w:p>
    <w:p w14:paraId="665F3D36" w14:textId="1060452F" w:rsidR="00706FE6" w:rsidRDefault="00C93594" w:rsidP="00804234">
      <w:pPr>
        <w:pStyle w:val="BodyText"/>
        <w:spacing w:before="56"/>
        <w:ind w:left="0" w:firstLine="142"/>
      </w:pPr>
      <w:r>
        <w:rPr>
          <w:b/>
        </w:rPr>
        <w:t xml:space="preserve">BMHC – </w:t>
      </w:r>
      <w:r>
        <w:t>Brockville Mental Health Centr</w:t>
      </w:r>
      <w:r w:rsidR="005C6294">
        <w:t>e</w:t>
      </w:r>
      <w:r w:rsidR="00706FE6">
        <w:br w:type="page"/>
      </w:r>
    </w:p>
    <w:p w14:paraId="584AD8FD" w14:textId="77777777" w:rsidR="005C6294" w:rsidRDefault="005C6294" w:rsidP="00804234">
      <w:pPr>
        <w:pStyle w:val="BodyText"/>
        <w:spacing w:before="56"/>
        <w:ind w:left="0" w:firstLine="142"/>
      </w:pPr>
    </w:p>
    <w:p w14:paraId="4C1738BC" w14:textId="77777777" w:rsidR="002B5470" w:rsidRDefault="00C93594" w:rsidP="00804234">
      <w:pPr>
        <w:pStyle w:val="BodyText"/>
        <w:spacing w:before="56"/>
        <w:ind w:left="0" w:firstLine="142"/>
      </w:pPr>
      <w:r>
        <w:rPr>
          <w:b/>
        </w:rPr>
        <w:t xml:space="preserve">UO – </w:t>
      </w:r>
      <w:r>
        <w:t>University of Ottawa</w:t>
      </w:r>
    </w:p>
    <w:p w14:paraId="31E860C2" w14:textId="77777777" w:rsidR="002B5470" w:rsidRDefault="00C93594">
      <w:pPr>
        <w:spacing w:before="25"/>
        <w:ind w:left="139"/>
      </w:pPr>
      <w:r>
        <w:rPr>
          <w:b/>
        </w:rPr>
        <w:t xml:space="preserve">CU – </w:t>
      </w:r>
      <w:r>
        <w:t>Carleton University</w:t>
      </w:r>
    </w:p>
    <w:p w14:paraId="3AD4D1DC" w14:textId="77777777" w:rsidR="002B5470" w:rsidRDefault="00C93594">
      <w:pPr>
        <w:pStyle w:val="BodyText"/>
        <w:spacing w:before="19"/>
      </w:pPr>
      <w:r>
        <w:rPr>
          <w:b/>
        </w:rPr>
        <w:t xml:space="preserve">CIHR - </w:t>
      </w:r>
      <w:r>
        <w:t>Canadian Institutes of Health Research</w:t>
      </w:r>
    </w:p>
    <w:p w14:paraId="1183C788" w14:textId="77777777" w:rsidR="002B5470" w:rsidRDefault="00C93594">
      <w:pPr>
        <w:pStyle w:val="BodyText"/>
        <w:spacing w:before="24"/>
      </w:pPr>
      <w:r>
        <w:rPr>
          <w:b/>
        </w:rPr>
        <w:t xml:space="preserve">NSERC - </w:t>
      </w:r>
      <w:r>
        <w:t>Natural Sciences and Engineering Research Council of Canada</w:t>
      </w:r>
    </w:p>
    <w:p w14:paraId="078A6162" w14:textId="77777777" w:rsidR="002B5470" w:rsidRDefault="00C93594">
      <w:pPr>
        <w:pStyle w:val="BodyText"/>
        <w:spacing w:before="19"/>
      </w:pPr>
      <w:r>
        <w:rPr>
          <w:b/>
        </w:rPr>
        <w:t xml:space="preserve">SSHRC - </w:t>
      </w:r>
      <w:r>
        <w:t>Social Sciences and Humanities Research Council</w:t>
      </w:r>
    </w:p>
    <w:p w14:paraId="62C6B02F" w14:textId="77777777" w:rsidR="002B5470" w:rsidRDefault="00C93594">
      <w:pPr>
        <w:pStyle w:val="BodyText"/>
        <w:spacing w:before="20"/>
      </w:pPr>
      <w:r>
        <w:rPr>
          <w:b/>
        </w:rPr>
        <w:t xml:space="preserve">FDA – </w:t>
      </w:r>
      <w:r>
        <w:t>United States Food and Drug Administration</w:t>
      </w:r>
    </w:p>
    <w:p w14:paraId="7B61F521" w14:textId="77777777" w:rsidR="002B5470" w:rsidRDefault="00C93594">
      <w:pPr>
        <w:spacing w:before="24"/>
        <w:ind w:left="139"/>
      </w:pPr>
      <w:r>
        <w:rPr>
          <w:b/>
        </w:rPr>
        <w:t xml:space="preserve">HC – </w:t>
      </w:r>
      <w:r>
        <w:t>Health Canada</w:t>
      </w:r>
    </w:p>
    <w:p w14:paraId="7805EF11" w14:textId="77777777" w:rsidR="002B5470" w:rsidRDefault="00C93594">
      <w:pPr>
        <w:pStyle w:val="BodyText"/>
        <w:spacing w:before="19"/>
      </w:pPr>
      <w:r>
        <w:rPr>
          <w:b/>
        </w:rPr>
        <w:t xml:space="preserve">OHRP – </w:t>
      </w:r>
      <w:r>
        <w:t>Office for Human Research Protections</w:t>
      </w:r>
    </w:p>
    <w:p w14:paraId="16B15797" w14:textId="77777777" w:rsidR="002B5470" w:rsidRDefault="00C93594">
      <w:pPr>
        <w:pStyle w:val="BodyText"/>
        <w:spacing w:before="20"/>
      </w:pPr>
      <w:r>
        <w:rPr>
          <w:b/>
        </w:rPr>
        <w:t xml:space="preserve">ICH-GCP – </w:t>
      </w:r>
      <w:r>
        <w:t>International Conference on Harmonisation-Good Clinical Practice</w:t>
      </w:r>
    </w:p>
    <w:p w14:paraId="2C79EB70" w14:textId="77777777" w:rsidR="002B5470" w:rsidRDefault="00C93594">
      <w:pPr>
        <w:pStyle w:val="BodyText"/>
        <w:spacing w:before="24"/>
      </w:pPr>
      <w:r>
        <w:rPr>
          <w:b/>
        </w:rPr>
        <w:t xml:space="preserve">TCPS2 – </w:t>
      </w:r>
      <w:r>
        <w:t>Tri-Council Policy Statement “Ethical Conduct for Research Involving Humans”</w:t>
      </w:r>
    </w:p>
    <w:p w14:paraId="5C49E846" w14:textId="77777777" w:rsidR="002B5470" w:rsidRDefault="00C93594">
      <w:pPr>
        <w:pStyle w:val="BodyText"/>
        <w:spacing w:before="19"/>
      </w:pPr>
      <w:r>
        <w:rPr>
          <w:b/>
        </w:rPr>
        <w:t xml:space="preserve">QARE – </w:t>
      </w:r>
      <w:r>
        <w:t>Quality Assurance for Research Excellence</w:t>
      </w:r>
    </w:p>
    <w:p w14:paraId="1A60B54D" w14:textId="77777777" w:rsidR="002B5470" w:rsidRDefault="00C93594">
      <w:pPr>
        <w:pStyle w:val="BodyText"/>
        <w:spacing w:before="25"/>
        <w:ind w:left="138"/>
      </w:pPr>
      <w:r>
        <w:rPr>
          <w:b/>
        </w:rPr>
        <w:t xml:space="preserve">SOP – </w:t>
      </w:r>
      <w:r>
        <w:t>Standard Operating Procedure</w:t>
      </w:r>
    </w:p>
    <w:p w14:paraId="0B1805B8" w14:textId="77777777" w:rsidR="002B5470" w:rsidRDefault="00C93594">
      <w:pPr>
        <w:pStyle w:val="BodyText"/>
        <w:spacing w:before="19"/>
        <w:ind w:left="138"/>
      </w:pPr>
      <w:r>
        <w:rPr>
          <w:b/>
        </w:rPr>
        <w:t xml:space="preserve">PHIPA – </w:t>
      </w:r>
      <w:r>
        <w:t>Personal Health Information Protection Act</w:t>
      </w:r>
    </w:p>
    <w:p w14:paraId="33A026E8" w14:textId="77777777" w:rsidR="002B5470" w:rsidRDefault="002B5470">
      <w:pPr>
        <w:pStyle w:val="BodyText"/>
        <w:ind w:left="0"/>
      </w:pPr>
    </w:p>
    <w:p w14:paraId="22015B90" w14:textId="77777777" w:rsidR="002B5470" w:rsidRDefault="002B5470">
      <w:pPr>
        <w:pStyle w:val="BodyText"/>
        <w:spacing w:before="11"/>
        <w:ind w:left="0"/>
        <w:rPr>
          <w:sz w:val="16"/>
        </w:rPr>
      </w:pPr>
    </w:p>
    <w:p w14:paraId="29226F84" w14:textId="77777777" w:rsidR="002B5470" w:rsidRDefault="00C93594">
      <w:pPr>
        <w:pStyle w:val="Heading1"/>
        <w:numPr>
          <w:ilvl w:val="1"/>
          <w:numId w:val="7"/>
        </w:numPr>
        <w:tabs>
          <w:tab w:val="left" w:pos="465"/>
        </w:tabs>
      </w:pPr>
      <w:r>
        <w:t>GOVERNANCE AND</w:t>
      </w:r>
      <w:r>
        <w:rPr>
          <w:spacing w:val="-3"/>
        </w:rPr>
        <w:t xml:space="preserve"> </w:t>
      </w:r>
      <w:r>
        <w:t>JURISDICTION</w:t>
      </w:r>
    </w:p>
    <w:p w14:paraId="291CEA61" w14:textId="7E3CF2D3" w:rsidR="002B5470" w:rsidRDefault="00C93594">
      <w:pPr>
        <w:pStyle w:val="BodyText"/>
        <w:spacing w:before="178" w:line="259" w:lineRule="auto"/>
        <w:ind w:left="138" w:right="80"/>
      </w:pPr>
      <w:r>
        <w:t xml:space="preserve">Through ongoing oversight and reporting activities, the REB is responsible for ensuring that research involving human participants meets current scientific and ethical research standards for the </w:t>
      </w:r>
      <w:r w:rsidR="00B64B3A">
        <w:t xml:space="preserve">welfare, and experience </w:t>
      </w:r>
      <w:r>
        <w:t>of human research participants. The IMHR and the ROHCG will rely on the service of the REB to ensure scholarly review by ensuring compliance with the Scientific Review policies and scholarly standards of research proposals submitted to it and conducted within or by members of the professional staff of the IMHR, ROHCG, BMHCG, CU and the UO. All research involving human participants requires REB review and approval before the research can begin.</w:t>
      </w:r>
    </w:p>
    <w:p w14:paraId="55585365" w14:textId="473B3F0F" w:rsidR="002B5470" w:rsidRDefault="00C93594">
      <w:pPr>
        <w:pStyle w:val="ListParagraph"/>
        <w:numPr>
          <w:ilvl w:val="1"/>
          <w:numId w:val="7"/>
        </w:numPr>
        <w:tabs>
          <w:tab w:val="left" w:pos="513"/>
        </w:tabs>
        <w:spacing w:before="156" w:line="259" w:lineRule="auto"/>
        <w:ind w:left="138" w:right="149" w:firstLine="0"/>
      </w:pPr>
      <w:r>
        <w:t xml:space="preserve">The purpose of the REB is to determine the ethical acceptability of all research involving human participants at the ROHCG or by the investigators/personnel of the institution. The REB will assume responsibility for the review of applications from members of CU and UO in accordance with agreements held with these universities. </w:t>
      </w:r>
      <w:r w:rsidR="00901BF8">
        <w:t xml:space="preserve">Ethical </w:t>
      </w:r>
      <w:r>
        <w:t>assessment will be provided by the REB, or if there is insufficient expertise, by experts not involved in the study within</w:t>
      </w:r>
      <w:r>
        <w:rPr>
          <w:spacing w:val="-4"/>
        </w:rPr>
        <w:t xml:space="preserve"> </w:t>
      </w:r>
      <w:r>
        <w:t>either</w:t>
      </w:r>
      <w:r>
        <w:rPr>
          <w:spacing w:val="-2"/>
        </w:rPr>
        <w:t xml:space="preserve"> </w:t>
      </w:r>
      <w:r>
        <w:t>the</w:t>
      </w:r>
      <w:r>
        <w:rPr>
          <w:spacing w:val="-3"/>
        </w:rPr>
        <w:t xml:space="preserve"> </w:t>
      </w:r>
      <w:r>
        <w:t>institution,</w:t>
      </w:r>
      <w:r>
        <w:rPr>
          <w:spacing w:val="-5"/>
        </w:rPr>
        <w:t xml:space="preserve"> </w:t>
      </w:r>
      <w:r>
        <w:t>or</w:t>
      </w:r>
      <w:r>
        <w:rPr>
          <w:spacing w:val="-2"/>
        </w:rPr>
        <w:t xml:space="preserve"> </w:t>
      </w:r>
      <w:r>
        <w:t>elsewhere.</w:t>
      </w:r>
      <w:r>
        <w:rPr>
          <w:spacing w:val="-1"/>
        </w:rPr>
        <w:t xml:space="preserve"> </w:t>
      </w:r>
      <w:r>
        <w:t>The</w:t>
      </w:r>
      <w:r>
        <w:rPr>
          <w:spacing w:val="-2"/>
        </w:rPr>
        <w:t xml:space="preserve"> </w:t>
      </w:r>
      <w:r>
        <w:t>REB</w:t>
      </w:r>
      <w:r>
        <w:rPr>
          <w:spacing w:val="-2"/>
        </w:rPr>
        <w:t xml:space="preserve"> </w:t>
      </w:r>
      <w:r>
        <w:t>has</w:t>
      </w:r>
      <w:r>
        <w:rPr>
          <w:spacing w:val="-3"/>
        </w:rPr>
        <w:t xml:space="preserve"> </w:t>
      </w:r>
      <w:r>
        <w:t>a</w:t>
      </w:r>
      <w:r>
        <w:rPr>
          <w:spacing w:val="-2"/>
        </w:rPr>
        <w:t xml:space="preserve"> </w:t>
      </w:r>
      <w:r>
        <w:t>responsibility</w:t>
      </w:r>
      <w:r>
        <w:rPr>
          <w:spacing w:val="-1"/>
        </w:rPr>
        <w:t xml:space="preserve"> </w:t>
      </w:r>
      <w:r>
        <w:t>to</w:t>
      </w:r>
      <w:r>
        <w:rPr>
          <w:spacing w:val="-5"/>
        </w:rPr>
        <w:t xml:space="preserve"> </w:t>
      </w:r>
      <w:r>
        <w:t>focus</w:t>
      </w:r>
      <w:r>
        <w:rPr>
          <w:spacing w:val="-2"/>
        </w:rPr>
        <w:t xml:space="preserve"> </w:t>
      </w:r>
      <w:r>
        <w:t>on</w:t>
      </w:r>
      <w:r>
        <w:rPr>
          <w:spacing w:val="1"/>
        </w:rPr>
        <w:t xml:space="preserve"> </w:t>
      </w:r>
      <w:r>
        <w:t>the</w:t>
      </w:r>
      <w:r>
        <w:rPr>
          <w:spacing w:val="-2"/>
        </w:rPr>
        <w:t xml:space="preserve"> </w:t>
      </w:r>
      <w:r>
        <w:t>ethical implications</w:t>
      </w:r>
      <w:r>
        <w:rPr>
          <w:spacing w:val="-3"/>
        </w:rPr>
        <w:t xml:space="preserve"> </w:t>
      </w:r>
      <w:r>
        <w:t>of</w:t>
      </w:r>
      <w:r>
        <w:rPr>
          <w:spacing w:val="-2"/>
        </w:rPr>
        <w:t xml:space="preserve"> </w:t>
      </w:r>
      <w:r>
        <w:t>a</w:t>
      </w:r>
      <w:r>
        <w:rPr>
          <w:spacing w:val="-2"/>
        </w:rPr>
        <w:t xml:space="preserve"> </w:t>
      </w:r>
      <w:r>
        <w:t>proposed study rather than issues related to study content or scientific design. Unless there is a significant concern that impacts ethical acceptability, REB members must avoid critiquing the studies under</w:t>
      </w:r>
      <w:r>
        <w:rPr>
          <w:spacing w:val="-24"/>
        </w:rPr>
        <w:t xml:space="preserve"> </w:t>
      </w:r>
      <w:r>
        <w:t>review.</w:t>
      </w:r>
    </w:p>
    <w:p w14:paraId="38842076" w14:textId="03AF573D" w:rsidR="002B5470" w:rsidRDefault="00C93594">
      <w:pPr>
        <w:pStyle w:val="ListParagraph"/>
        <w:numPr>
          <w:ilvl w:val="1"/>
          <w:numId w:val="7"/>
        </w:numPr>
        <w:tabs>
          <w:tab w:val="left" w:pos="513"/>
        </w:tabs>
        <w:spacing w:before="158" w:line="261" w:lineRule="auto"/>
        <w:ind w:left="138" w:right="320" w:firstLine="0"/>
      </w:pPr>
      <w:r>
        <w:t>The</w:t>
      </w:r>
      <w:r>
        <w:rPr>
          <w:spacing w:val="-2"/>
        </w:rPr>
        <w:t xml:space="preserve"> </w:t>
      </w:r>
      <w:r>
        <w:t>REB</w:t>
      </w:r>
      <w:r>
        <w:rPr>
          <w:spacing w:val="-2"/>
        </w:rPr>
        <w:t xml:space="preserve"> </w:t>
      </w:r>
      <w:r>
        <w:t>will meet</w:t>
      </w:r>
      <w:r>
        <w:rPr>
          <w:spacing w:val="-3"/>
        </w:rPr>
        <w:t xml:space="preserve"> </w:t>
      </w:r>
      <w:r>
        <w:t>at</w:t>
      </w:r>
      <w:r>
        <w:rPr>
          <w:spacing w:val="-4"/>
        </w:rPr>
        <w:t xml:space="preserve"> </w:t>
      </w:r>
      <w:r>
        <w:t>the</w:t>
      </w:r>
      <w:r>
        <w:rPr>
          <w:spacing w:val="-2"/>
        </w:rPr>
        <w:t xml:space="preserve"> </w:t>
      </w:r>
      <w:r>
        <w:t>ROMHC,</w:t>
      </w:r>
      <w:r>
        <w:rPr>
          <w:spacing w:val="-4"/>
        </w:rPr>
        <w:t xml:space="preserve"> </w:t>
      </w:r>
      <w:r w:rsidR="00901BF8">
        <w:rPr>
          <w:spacing w:val="-4"/>
        </w:rPr>
        <w:t xml:space="preserve">virtually, </w:t>
      </w:r>
      <w:r>
        <w:t>or</w:t>
      </w:r>
      <w:r>
        <w:rPr>
          <w:spacing w:val="-2"/>
        </w:rPr>
        <w:t xml:space="preserve"> </w:t>
      </w:r>
      <w:r>
        <w:t>at</w:t>
      </w:r>
      <w:r>
        <w:rPr>
          <w:spacing w:val="-4"/>
        </w:rPr>
        <w:t xml:space="preserve"> </w:t>
      </w:r>
      <w:r>
        <w:t>locations</w:t>
      </w:r>
      <w:r>
        <w:rPr>
          <w:spacing w:val="-2"/>
        </w:rPr>
        <w:t xml:space="preserve"> </w:t>
      </w:r>
      <w:r>
        <w:t>external</w:t>
      </w:r>
      <w:r>
        <w:rPr>
          <w:spacing w:val="1"/>
        </w:rPr>
        <w:t xml:space="preserve"> </w:t>
      </w:r>
      <w:r>
        <w:t>to</w:t>
      </w:r>
      <w:r>
        <w:rPr>
          <w:spacing w:val="-4"/>
        </w:rPr>
        <w:t xml:space="preserve"> </w:t>
      </w:r>
      <w:r>
        <w:t>the</w:t>
      </w:r>
      <w:r>
        <w:rPr>
          <w:spacing w:val="-2"/>
        </w:rPr>
        <w:t xml:space="preserve"> </w:t>
      </w:r>
      <w:r>
        <w:t>involved</w:t>
      </w:r>
      <w:r>
        <w:rPr>
          <w:spacing w:val="-2"/>
        </w:rPr>
        <w:t xml:space="preserve"> </w:t>
      </w:r>
      <w:r>
        <w:t>institutions</w:t>
      </w:r>
      <w:r>
        <w:rPr>
          <w:spacing w:val="-2"/>
        </w:rPr>
        <w:t xml:space="preserve"> </w:t>
      </w:r>
      <w:r>
        <w:t>at</w:t>
      </w:r>
      <w:r>
        <w:rPr>
          <w:spacing w:val="-4"/>
        </w:rPr>
        <w:t xml:space="preserve"> </w:t>
      </w:r>
      <w:r>
        <w:t>the</w:t>
      </w:r>
      <w:r>
        <w:rPr>
          <w:spacing w:val="-1"/>
        </w:rPr>
        <w:t xml:space="preserve"> </w:t>
      </w:r>
      <w:r>
        <w:t>call of</w:t>
      </w:r>
      <w:r>
        <w:rPr>
          <w:spacing w:val="-3"/>
        </w:rPr>
        <w:t xml:space="preserve"> </w:t>
      </w:r>
      <w:r>
        <w:t>the</w:t>
      </w:r>
      <w:r>
        <w:rPr>
          <w:spacing w:val="3"/>
        </w:rPr>
        <w:t xml:space="preserve"> </w:t>
      </w:r>
      <w:r>
        <w:t>Chair</w:t>
      </w:r>
      <w:r>
        <w:rPr>
          <w:spacing w:val="-2"/>
        </w:rPr>
        <w:t xml:space="preserve"> </w:t>
      </w:r>
      <w:r>
        <w:t xml:space="preserve">and/or Vice Chair as deemed suitable to facilitate the work of the REB. </w:t>
      </w:r>
    </w:p>
    <w:p w14:paraId="3FDE0F61" w14:textId="77777777" w:rsidR="002B5470" w:rsidRDefault="00C93594">
      <w:pPr>
        <w:pStyle w:val="ListParagraph"/>
        <w:numPr>
          <w:ilvl w:val="1"/>
          <w:numId w:val="7"/>
        </w:numPr>
        <w:tabs>
          <w:tab w:val="left" w:pos="513"/>
        </w:tabs>
        <w:spacing w:before="154" w:line="259" w:lineRule="auto"/>
        <w:ind w:left="138" w:right="377" w:firstLine="0"/>
      </w:pPr>
      <w:r>
        <w:t>The IMHR will provide administrative staff support for the activities of the REB including management of the application and review process for all submitted research projects. Administrative staff will work directly with the REB Chair/Vice-Chair and will report administratively to the IMHR President/ROHCG Vice-President Research via their delegate.</w:t>
      </w:r>
    </w:p>
    <w:p w14:paraId="4500E523" w14:textId="77777777" w:rsidR="002B5470" w:rsidRDefault="00C93594">
      <w:pPr>
        <w:pStyle w:val="ListParagraph"/>
        <w:numPr>
          <w:ilvl w:val="1"/>
          <w:numId w:val="7"/>
        </w:numPr>
        <w:tabs>
          <w:tab w:val="left" w:pos="513"/>
        </w:tabs>
        <w:spacing w:before="160" w:line="261" w:lineRule="auto"/>
        <w:ind w:left="138" w:right="866" w:firstLine="0"/>
      </w:pPr>
      <w:r>
        <w:t>The REB has the mandate to approve, reject, propose modifications to, renew, or terminate any proposed or ongoing research involving human participants that is conducted within, or by members of the</w:t>
      </w:r>
      <w:r>
        <w:rPr>
          <w:spacing w:val="-34"/>
        </w:rPr>
        <w:t xml:space="preserve"> </w:t>
      </w:r>
      <w:r>
        <w:t>ROHCG.</w:t>
      </w:r>
    </w:p>
    <w:p w14:paraId="4E6354F1" w14:textId="77777777" w:rsidR="002B5470" w:rsidRDefault="002B5470">
      <w:pPr>
        <w:spacing w:line="261" w:lineRule="auto"/>
        <w:sectPr w:rsidR="002B5470">
          <w:footerReference w:type="default" r:id="rId8"/>
          <w:pgSz w:w="12240" w:h="15840"/>
          <w:pgMar w:top="1560" w:right="580" w:bottom="1500" w:left="580" w:header="714" w:footer="1318" w:gutter="0"/>
          <w:cols w:space="720"/>
        </w:sectPr>
      </w:pPr>
    </w:p>
    <w:p w14:paraId="53BE8A99" w14:textId="77777777" w:rsidR="002B5470" w:rsidRDefault="002B5470">
      <w:pPr>
        <w:pStyle w:val="BodyText"/>
        <w:spacing w:before="6"/>
        <w:ind w:left="0"/>
        <w:rPr>
          <w:sz w:val="23"/>
        </w:rPr>
      </w:pPr>
    </w:p>
    <w:p w14:paraId="4FD802BF" w14:textId="78B26658" w:rsidR="002B5470" w:rsidRDefault="00C93594">
      <w:pPr>
        <w:pStyle w:val="ListParagraph"/>
        <w:numPr>
          <w:ilvl w:val="1"/>
          <w:numId w:val="7"/>
        </w:numPr>
        <w:tabs>
          <w:tab w:val="left" w:pos="515"/>
        </w:tabs>
        <w:spacing w:before="56" w:line="259" w:lineRule="auto"/>
        <w:ind w:left="140" w:right="267" w:firstLine="0"/>
      </w:pPr>
      <w:r>
        <w:t>The REB will be responsible for the following tasks: reviewing all proposed research from ethical perspectives before the research is started; reviewing adverse event reports; conducting continuing annual review; and reviewing amendments before amendments are</w:t>
      </w:r>
      <w:r>
        <w:rPr>
          <w:spacing w:val="-10"/>
        </w:rPr>
        <w:t xml:space="preserve"> </w:t>
      </w:r>
      <w:r>
        <w:t>implemented.</w:t>
      </w:r>
    </w:p>
    <w:p w14:paraId="2CEE3A32" w14:textId="77777777" w:rsidR="002B5470" w:rsidRDefault="00C93594">
      <w:pPr>
        <w:pStyle w:val="ListParagraph"/>
        <w:numPr>
          <w:ilvl w:val="1"/>
          <w:numId w:val="7"/>
        </w:numPr>
        <w:tabs>
          <w:tab w:val="left" w:pos="515"/>
        </w:tabs>
        <w:spacing w:before="157" w:line="266" w:lineRule="auto"/>
        <w:ind w:left="140" w:right="254" w:firstLine="0"/>
      </w:pPr>
      <w:r>
        <w:t>The REB may suspend research deemed not to meet the standards established by the regulations and/or guidelines and/or legislation listed in section</w:t>
      </w:r>
      <w:r>
        <w:rPr>
          <w:spacing w:val="-14"/>
        </w:rPr>
        <w:t xml:space="preserve"> </w:t>
      </w:r>
      <w:r>
        <w:t>9.</w:t>
      </w:r>
    </w:p>
    <w:p w14:paraId="4A3B5DB7" w14:textId="77777777" w:rsidR="002B5470" w:rsidRDefault="00C93594">
      <w:pPr>
        <w:pStyle w:val="ListParagraph"/>
        <w:numPr>
          <w:ilvl w:val="1"/>
          <w:numId w:val="7"/>
        </w:numPr>
        <w:tabs>
          <w:tab w:val="left" w:pos="515"/>
        </w:tabs>
        <w:spacing w:before="143" w:line="266" w:lineRule="auto"/>
        <w:ind w:left="140" w:right="424" w:firstLine="0"/>
      </w:pPr>
      <w:r>
        <w:t>The REB is guided by the following core principles as defined in Article 1.1 of TCPS2 – Tri-Council Policy Statement “Ethical</w:t>
      </w:r>
      <w:r>
        <w:rPr>
          <w:spacing w:val="-1"/>
        </w:rPr>
        <w:t xml:space="preserve"> </w:t>
      </w:r>
      <w:r>
        <w:t>Conduct</w:t>
      </w:r>
      <w:r>
        <w:rPr>
          <w:spacing w:val="1"/>
        </w:rPr>
        <w:t xml:space="preserve"> </w:t>
      </w:r>
      <w:r>
        <w:t>for</w:t>
      </w:r>
      <w:r>
        <w:rPr>
          <w:spacing w:val="-3"/>
        </w:rPr>
        <w:t xml:space="preserve"> </w:t>
      </w:r>
      <w:r>
        <w:t>Research</w:t>
      </w:r>
      <w:r>
        <w:rPr>
          <w:spacing w:val="-3"/>
        </w:rPr>
        <w:t xml:space="preserve"> </w:t>
      </w:r>
      <w:r>
        <w:t>Involving</w:t>
      </w:r>
      <w:r>
        <w:rPr>
          <w:spacing w:val="-1"/>
        </w:rPr>
        <w:t xml:space="preserve"> </w:t>
      </w:r>
      <w:r>
        <w:t>Humans”</w:t>
      </w:r>
      <w:r>
        <w:rPr>
          <w:spacing w:val="-4"/>
        </w:rPr>
        <w:t xml:space="preserve"> </w:t>
      </w:r>
      <w:r>
        <w:t>**:</w:t>
      </w:r>
      <w:r>
        <w:rPr>
          <w:spacing w:val="-4"/>
        </w:rPr>
        <w:t xml:space="preserve"> </w:t>
      </w:r>
      <w:r>
        <w:t>1)</w:t>
      </w:r>
      <w:r>
        <w:rPr>
          <w:spacing w:val="-2"/>
        </w:rPr>
        <w:t xml:space="preserve"> </w:t>
      </w:r>
      <w:r>
        <w:t>Respect</w:t>
      </w:r>
      <w:r>
        <w:rPr>
          <w:spacing w:val="-4"/>
        </w:rPr>
        <w:t xml:space="preserve"> </w:t>
      </w:r>
      <w:r>
        <w:t>for</w:t>
      </w:r>
      <w:r>
        <w:rPr>
          <w:spacing w:val="-3"/>
        </w:rPr>
        <w:t xml:space="preserve"> </w:t>
      </w:r>
      <w:r>
        <w:t>persons;</w:t>
      </w:r>
      <w:r>
        <w:rPr>
          <w:spacing w:val="-4"/>
        </w:rPr>
        <w:t xml:space="preserve"> </w:t>
      </w:r>
      <w:r>
        <w:t>2)</w:t>
      </w:r>
      <w:r>
        <w:rPr>
          <w:spacing w:val="-2"/>
        </w:rPr>
        <w:t xml:space="preserve"> </w:t>
      </w:r>
      <w:r>
        <w:t>Concern</w:t>
      </w:r>
      <w:r>
        <w:rPr>
          <w:spacing w:val="1"/>
        </w:rPr>
        <w:t xml:space="preserve"> </w:t>
      </w:r>
      <w:r>
        <w:t>for</w:t>
      </w:r>
      <w:r>
        <w:rPr>
          <w:spacing w:val="-2"/>
        </w:rPr>
        <w:t xml:space="preserve"> </w:t>
      </w:r>
      <w:r>
        <w:t>Welfare;</w:t>
      </w:r>
      <w:r>
        <w:rPr>
          <w:spacing w:val="-4"/>
        </w:rPr>
        <w:t xml:space="preserve"> </w:t>
      </w:r>
      <w:r>
        <w:t>3)</w:t>
      </w:r>
      <w:r>
        <w:rPr>
          <w:spacing w:val="-3"/>
        </w:rPr>
        <w:t xml:space="preserve"> </w:t>
      </w:r>
      <w:r>
        <w:t>Justice.</w:t>
      </w:r>
    </w:p>
    <w:p w14:paraId="62870F3E" w14:textId="77777777" w:rsidR="002B5470" w:rsidRDefault="00C93594">
      <w:pPr>
        <w:pStyle w:val="ListParagraph"/>
        <w:numPr>
          <w:ilvl w:val="1"/>
          <w:numId w:val="7"/>
        </w:numPr>
        <w:tabs>
          <w:tab w:val="left" w:pos="515"/>
        </w:tabs>
        <w:spacing w:before="143" w:line="261" w:lineRule="auto"/>
        <w:ind w:left="139" w:right="247" w:firstLine="0"/>
      </w:pPr>
      <w:r>
        <w:t>The REB and the IMHR shall monitor the activities of research involving human participants on an ongoing basis (including breaches of privacy, disclosures of conflict of interest or of perceived conflicts of interest related to human research). The REB fulfills this responsibility through continuing review of the research and review of unanticipated issues/problems. IMHR fulfills this responsibility through the conduct of internal audits (Quality Assurance for Research Excellence (QARE)</w:t>
      </w:r>
      <w:r>
        <w:rPr>
          <w:spacing w:val="-5"/>
        </w:rPr>
        <w:t xml:space="preserve"> </w:t>
      </w:r>
      <w:r>
        <w:t>Program).</w:t>
      </w:r>
    </w:p>
    <w:p w14:paraId="7260AE96" w14:textId="77777777" w:rsidR="002B5470" w:rsidRDefault="00C93594">
      <w:pPr>
        <w:pStyle w:val="ListParagraph"/>
        <w:numPr>
          <w:ilvl w:val="1"/>
          <w:numId w:val="7"/>
        </w:numPr>
        <w:tabs>
          <w:tab w:val="left" w:pos="515"/>
        </w:tabs>
        <w:spacing w:before="154"/>
        <w:ind w:left="514" w:hanging="376"/>
      </w:pPr>
      <w:r>
        <w:t>The REB reports to the highest body of the institutions, the ROHCG Board of</w:t>
      </w:r>
      <w:r>
        <w:rPr>
          <w:spacing w:val="-19"/>
        </w:rPr>
        <w:t xml:space="preserve"> </w:t>
      </w:r>
      <w:r>
        <w:t>Trustees.</w:t>
      </w:r>
    </w:p>
    <w:p w14:paraId="0216B45F" w14:textId="77777777" w:rsidR="002B5470" w:rsidRDefault="00C93594">
      <w:pPr>
        <w:pStyle w:val="ListParagraph"/>
        <w:numPr>
          <w:ilvl w:val="1"/>
          <w:numId w:val="7"/>
        </w:numPr>
        <w:tabs>
          <w:tab w:val="left" w:pos="577"/>
        </w:tabs>
        <w:spacing w:before="173" w:line="261" w:lineRule="auto"/>
        <w:ind w:left="139" w:right="642" w:firstLine="0"/>
        <w:jc w:val="both"/>
      </w:pPr>
      <w:r>
        <w:t>Any policies and SOPs for the REB will be written in compliance with Health Canada regulations, and adhere to existing guidelines (ICH-GCP), TCPS2, Personal health Information Protection Act (PHIPA). The REB will comply with American (FDA, OHRP) requirements, where</w:t>
      </w:r>
      <w:r>
        <w:rPr>
          <w:spacing w:val="-18"/>
        </w:rPr>
        <w:t xml:space="preserve"> </w:t>
      </w:r>
      <w:r>
        <w:t>applicable.</w:t>
      </w:r>
    </w:p>
    <w:p w14:paraId="3C124800" w14:textId="6A140FEF" w:rsidR="002B5470" w:rsidRDefault="00C93594">
      <w:pPr>
        <w:pStyle w:val="BodyText"/>
        <w:spacing w:before="154" w:line="261" w:lineRule="auto"/>
        <w:ind w:right="285"/>
      </w:pPr>
      <w:r>
        <w:t>** TCPS2 current version: Tri-Council Policy Statement: Ethical Conduct for Research Involving Humans – TCPS 2 (</w:t>
      </w:r>
      <w:r w:rsidR="00901BF8">
        <w:t>2022</w:t>
      </w:r>
      <w:r>
        <w:t xml:space="preserve">) </w:t>
      </w:r>
      <w:r w:rsidR="00901BF8">
        <w:br/>
      </w:r>
      <w:hyperlink r:id="rId9" w:history="1">
        <w:r w:rsidR="00901BF8">
          <w:rPr>
            <w:rStyle w:val="Hyperlink"/>
          </w:rPr>
          <w:t>Tri-Council Policy Statement: Ethical Conduct for Research Involving Humans – TCPS 2 (2022) (ethics.gc.ca)</w:t>
        </w:r>
      </w:hyperlink>
      <w:r w:rsidR="00901BF8" w:rsidDel="00901BF8">
        <w:t xml:space="preserve"> </w:t>
      </w:r>
    </w:p>
    <w:p w14:paraId="2460F747" w14:textId="77777777" w:rsidR="002B5470" w:rsidRDefault="002B5470">
      <w:pPr>
        <w:pStyle w:val="BodyText"/>
        <w:spacing w:before="4"/>
        <w:ind w:left="0"/>
        <w:rPr>
          <w:sz w:val="8"/>
        </w:rPr>
      </w:pPr>
    </w:p>
    <w:p w14:paraId="36FB3004" w14:textId="77777777" w:rsidR="002B5470" w:rsidRDefault="00C93594">
      <w:pPr>
        <w:pStyle w:val="Heading1"/>
        <w:numPr>
          <w:ilvl w:val="1"/>
          <w:numId w:val="6"/>
        </w:numPr>
        <w:tabs>
          <w:tab w:val="left" w:pos="467"/>
        </w:tabs>
        <w:spacing w:before="57"/>
      </w:pPr>
      <w:r>
        <w:t>MANAGEMENT OF THE</w:t>
      </w:r>
      <w:r>
        <w:rPr>
          <w:spacing w:val="-5"/>
        </w:rPr>
        <w:t xml:space="preserve"> </w:t>
      </w:r>
      <w:r>
        <w:t>REB</w:t>
      </w:r>
    </w:p>
    <w:p w14:paraId="5D6DDF65" w14:textId="77777777" w:rsidR="002B5470" w:rsidRDefault="00C93594">
      <w:pPr>
        <w:pStyle w:val="ListParagraph"/>
        <w:numPr>
          <w:ilvl w:val="1"/>
          <w:numId w:val="6"/>
        </w:numPr>
        <w:tabs>
          <w:tab w:val="left" w:pos="515"/>
        </w:tabs>
        <w:spacing w:before="178"/>
        <w:ind w:left="514" w:hanging="375"/>
        <w:rPr>
          <w:b/>
        </w:rPr>
      </w:pPr>
      <w:r>
        <w:rPr>
          <w:b/>
        </w:rPr>
        <w:t>REB Chair and</w:t>
      </w:r>
      <w:r>
        <w:rPr>
          <w:b/>
          <w:spacing w:val="-7"/>
        </w:rPr>
        <w:t xml:space="preserve"> </w:t>
      </w:r>
      <w:r>
        <w:rPr>
          <w:b/>
        </w:rPr>
        <w:t>Vice-Chair(s)</w:t>
      </w:r>
    </w:p>
    <w:p w14:paraId="5B200CA4" w14:textId="018935EA" w:rsidR="002B5470" w:rsidRDefault="00C93594">
      <w:pPr>
        <w:pStyle w:val="BodyText"/>
        <w:spacing w:before="19" w:line="259" w:lineRule="auto"/>
        <w:ind w:right="206"/>
      </w:pPr>
      <w:r>
        <w:t>The REB Chair/Vice-Chair should be experienced and respected REB member with at least two</w:t>
      </w:r>
      <w:r w:rsidR="00661266">
        <w:t xml:space="preserve"> (2)</w:t>
      </w:r>
      <w:r>
        <w:t xml:space="preserve"> years of experience serving on an REB, and shall have a broad and deep knowledge of research ethics, literature and debates, national and international guidelines, regulations, policies and their application to the human participant research undertaken within the jurisdiction of the REB.</w:t>
      </w:r>
    </w:p>
    <w:p w14:paraId="7791DF71" w14:textId="77777777" w:rsidR="002B5470" w:rsidRDefault="002B5470">
      <w:pPr>
        <w:pStyle w:val="BodyText"/>
        <w:spacing w:before="1"/>
        <w:ind w:left="0"/>
        <w:rPr>
          <w:sz w:val="24"/>
        </w:rPr>
      </w:pPr>
    </w:p>
    <w:p w14:paraId="3235F986" w14:textId="77777777" w:rsidR="002B5470" w:rsidRDefault="00C93594">
      <w:pPr>
        <w:pStyle w:val="Heading1"/>
        <w:numPr>
          <w:ilvl w:val="1"/>
          <w:numId w:val="6"/>
        </w:numPr>
        <w:tabs>
          <w:tab w:val="left" w:pos="515"/>
        </w:tabs>
        <w:ind w:left="514" w:hanging="376"/>
      </w:pPr>
      <w:r>
        <w:t>Responsibilities of the REB</w:t>
      </w:r>
      <w:r>
        <w:rPr>
          <w:spacing w:val="-9"/>
        </w:rPr>
        <w:t xml:space="preserve"> </w:t>
      </w:r>
      <w:r>
        <w:t>Chair</w:t>
      </w:r>
    </w:p>
    <w:p w14:paraId="5BB24CBD" w14:textId="77777777" w:rsidR="002B5470" w:rsidRDefault="00C93594">
      <w:pPr>
        <w:pStyle w:val="ListParagraph"/>
        <w:numPr>
          <w:ilvl w:val="2"/>
          <w:numId w:val="6"/>
        </w:numPr>
        <w:tabs>
          <w:tab w:val="left" w:pos="859"/>
          <w:tab w:val="left" w:pos="860"/>
        </w:tabs>
        <w:spacing w:before="181"/>
        <w:ind w:left="859"/>
      </w:pPr>
      <w:r>
        <w:t>Leads convened</w:t>
      </w:r>
      <w:r>
        <w:rPr>
          <w:spacing w:val="-6"/>
        </w:rPr>
        <w:t xml:space="preserve"> </w:t>
      </w:r>
      <w:r>
        <w:t>meetings</w:t>
      </w:r>
    </w:p>
    <w:p w14:paraId="6236DE4D" w14:textId="77777777" w:rsidR="002B5470" w:rsidRDefault="00C93594">
      <w:pPr>
        <w:pStyle w:val="ListParagraph"/>
        <w:numPr>
          <w:ilvl w:val="2"/>
          <w:numId w:val="6"/>
        </w:numPr>
        <w:tabs>
          <w:tab w:val="left" w:pos="859"/>
          <w:tab w:val="left" w:pos="861"/>
        </w:tabs>
        <w:spacing w:before="17" w:line="256" w:lineRule="auto"/>
        <w:ind w:right="267"/>
      </w:pPr>
      <w:r>
        <w:t>Performs</w:t>
      </w:r>
      <w:r>
        <w:rPr>
          <w:spacing w:val="-3"/>
        </w:rPr>
        <w:t xml:space="preserve"> </w:t>
      </w:r>
      <w:r>
        <w:t>delegated</w:t>
      </w:r>
      <w:r>
        <w:rPr>
          <w:spacing w:val="-4"/>
        </w:rPr>
        <w:t xml:space="preserve"> </w:t>
      </w:r>
      <w:r>
        <w:t>review,</w:t>
      </w:r>
      <w:r>
        <w:rPr>
          <w:spacing w:val="-6"/>
        </w:rPr>
        <w:t xml:space="preserve"> </w:t>
      </w:r>
      <w:r>
        <w:t>or</w:t>
      </w:r>
      <w:r>
        <w:rPr>
          <w:spacing w:val="-2"/>
        </w:rPr>
        <w:t xml:space="preserve"> </w:t>
      </w:r>
      <w:r>
        <w:t>delegates</w:t>
      </w:r>
      <w:r>
        <w:rPr>
          <w:spacing w:val="-3"/>
        </w:rPr>
        <w:t xml:space="preserve"> </w:t>
      </w:r>
      <w:r>
        <w:t>authority</w:t>
      </w:r>
      <w:r>
        <w:rPr>
          <w:spacing w:val="-2"/>
        </w:rPr>
        <w:t xml:space="preserve"> </w:t>
      </w:r>
      <w:r>
        <w:t>to</w:t>
      </w:r>
      <w:r>
        <w:rPr>
          <w:spacing w:val="-5"/>
        </w:rPr>
        <w:t xml:space="preserve"> </w:t>
      </w:r>
      <w:r>
        <w:t>perform</w:t>
      </w:r>
      <w:r>
        <w:rPr>
          <w:spacing w:val="-2"/>
        </w:rPr>
        <w:t xml:space="preserve"> </w:t>
      </w:r>
      <w:r>
        <w:t>delegated</w:t>
      </w:r>
      <w:r>
        <w:rPr>
          <w:spacing w:val="-3"/>
        </w:rPr>
        <w:t xml:space="preserve"> </w:t>
      </w:r>
      <w:r>
        <w:t>review</w:t>
      </w:r>
      <w:r>
        <w:rPr>
          <w:spacing w:val="-3"/>
        </w:rPr>
        <w:t xml:space="preserve"> </w:t>
      </w:r>
      <w:r>
        <w:t>to</w:t>
      </w:r>
      <w:r>
        <w:rPr>
          <w:spacing w:val="-5"/>
        </w:rPr>
        <w:t xml:space="preserve"> </w:t>
      </w:r>
      <w:r>
        <w:t>an</w:t>
      </w:r>
      <w:r>
        <w:rPr>
          <w:spacing w:val="-4"/>
        </w:rPr>
        <w:t xml:space="preserve"> </w:t>
      </w:r>
      <w:r>
        <w:t>appropriate</w:t>
      </w:r>
      <w:r>
        <w:rPr>
          <w:spacing w:val="-2"/>
        </w:rPr>
        <w:t xml:space="preserve"> </w:t>
      </w:r>
      <w:r>
        <w:t>REB</w:t>
      </w:r>
      <w:r>
        <w:rPr>
          <w:spacing w:val="-4"/>
        </w:rPr>
        <w:t xml:space="preserve"> </w:t>
      </w:r>
      <w:r>
        <w:t>member when</w:t>
      </w:r>
      <w:r>
        <w:rPr>
          <w:spacing w:val="-4"/>
        </w:rPr>
        <w:t xml:space="preserve"> </w:t>
      </w:r>
      <w:r>
        <w:t>appropriate.</w:t>
      </w:r>
    </w:p>
    <w:p w14:paraId="6DFB2289" w14:textId="68CAD688" w:rsidR="002B5470" w:rsidRDefault="00C93594">
      <w:pPr>
        <w:pStyle w:val="ListParagraph"/>
        <w:numPr>
          <w:ilvl w:val="2"/>
          <w:numId w:val="6"/>
        </w:numPr>
        <w:tabs>
          <w:tab w:val="left" w:pos="860"/>
          <w:tab w:val="left" w:pos="861"/>
        </w:tabs>
        <w:spacing w:before="9" w:line="256" w:lineRule="auto"/>
        <w:ind w:right="319"/>
      </w:pPr>
      <w:r>
        <w:t xml:space="preserve">Is empowered, pending REB review, to suspend the conduct of research if </w:t>
      </w:r>
      <w:r w:rsidR="00114127">
        <w:t>they</w:t>
      </w:r>
      <w:r>
        <w:t xml:space="preserve"> determine that an investigator</w:t>
      </w:r>
      <w:r>
        <w:rPr>
          <w:spacing w:val="-3"/>
        </w:rPr>
        <w:t xml:space="preserve"> </w:t>
      </w:r>
      <w:r>
        <w:t>is</w:t>
      </w:r>
      <w:r>
        <w:rPr>
          <w:spacing w:val="-2"/>
        </w:rPr>
        <w:t xml:space="preserve"> </w:t>
      </w:r>
      <w:r>
        <w:t>not</w:t>
      </w:r>
      <w:r>
        <w:rPr>
          <w:spacing w:val="-5"/>
        </w:rPr>
        <w:t xml:space="preserve"> </w:t>
      </w:r>
      <w:r>
        <w:t>following</w:t>
      </w:r>
      <w:r>
        <w:rPr>
          <w:spacing w:val="-1"/>
        </w:rPr>
        <w:t xml:space="preserve"> </w:t>
      </w:r>
      <w:r>
        <w:t>the</w:t>
      </w:r>
      <w:r>
        <w:rPr>
          <w:spacing w:val="-2"/>
        </w:rPr>
        <w:t xml:space="preserve"> </w:t>
      </w:r>
      <w:r>
        <w:t>REB’s</w:t>
      </w:r>
      <w:r>
        <w:rPr>
          <w:spacing w:val="-3"/>
        </w:rPr>
        <w:t xml:space="preserve"> </w:t>
      </w:r>
      <w:r>
        <w:t>policies</w:t>
      </w:r>
      <w:r>
        <w:rPr>
          <w:spacing w:val="-2"/>
        </w:rPr>
        <w:t xml:space="preserve"> </w:t>
      </w:r>
      <w:r>
        <w:t>or</w:t>
      </w:r>
      <w:r>
        <w:rPr>
          <w:spacing w:val="-3"/>
        </w:rPr>
        <w:t xml:space="preserve"> </w:t>
      </w:r>
      <w:r>
        <w:t>procedures</w:t>
      </w:r>
      <w:r>
        <w:rPr>
          <w:spacing w:val="-2"/>
        </w:rPr>
        <w:t xml:space="preserve"> </w:t>
      </w:r>
      <w:r>
        <w:t>or</w:t>
      </w:r>
      <w:r>
        <w:rPr>
          <w:spacing w:val="-2"/>
        </w:rPr>
        <w:t xml:space="preserve"> </w:t>
      </w:r>
      <w:r>
        <w:t>if</w:t>
      </w:r>
      <w:r>
        <w:rPr>
          <w:spacing w:val="-3"/>
        </w:rPr>
        <w:t xml:space="preserve"> </w:t>
      </w:r>
      <w:r>
        <w:t>there</w:t>
      </w:r>
      <w:r>
        <w:rPr>
          <w:spacing w:val="-2"/>
        </w:rPr>
        <w:t xml:space="preserve"> </w:t>
      </w:r>
      <w:r>
        <w:t>is</w:t>
      </w:r>
      <w:r>
        <w:rPr>
          <w:spacing w:val="-2"/>
        </w:rPr>
        <w:t xml:space="preserve"> </w:t>
      </w:r>
      <w:r>
        <w:t>evidence</w:t>
      </w:r>
      <w:r>
        <w:rPr>
          <w:spacing w:val="-3"/>
        </w:rPr>
        <w:t xml:space="preserve"> </w:t>
      </w:r>
      <w:r>
        <w:t>that</w:t>
      </w:r>
      <w:r>
        <w:rPr>
          <w:spacing w:val="2"/>
        </w:rPr>
        <w:t xml:space="preserve"> </w:t>
      </w:r>
      <w:r>
        <w:t>the</w:t>
      </w:r>
      <w:r>
        <w:rPr>
          <w:spacing w:val="-3"/>
        </w:rPr>
        <w:t xml:space="preserve"> </w:t>
      </w:r>
      <w:r>
        <w:t>investigator</w:t>
      </w:r>
      <w:r>
        <w:rPr>
          <w:spacing w:val="-2"/>
        </w:rPr>
        <w:t xml:space="preserve"> </w:t>
      </w:r>
      <w:r>
        <w:t>is</w:t>
      </w:r>
      <w:r>
        <w:rPr>
          <w:spacing w:val="-2"/>
        </w:rPr>
        <w:t xml:space="preserve"> </w:t>
      </w:r>
      <w:r>
        <w:t>non- compliant with the regulations and/or guidelines and or legislation listed in section</w:t>
      </w:r>
      <w:r>
        <w:rPr>
          <w:spacing w:val="-32"/>
        </w:rPr>
        <w:t xml:space="preserve"> </w:t>
      </w:r>
      <w:r>
        <w:t>9.</w:t>
      </w:r>
    </w:p>
    <w:p w14:paraId="5668D78E" w14:textId="07E5F78D" w:rsidR="002B5470" w:rsidRDefault="00C93594">
      <w:pPr>
        <w:pStyle w:val="ListParagraph"/>
        <w:numPr>
          <w:ilvl w:val="2"/>
          <w:numId w:val="6"/>
        </w:numPr>
        <w:tabs>
          <w:tab w:val="left" w:pos="860"/>
          <w:tab w:val="left" w:pos="861"/>
        </w:tabs>
        <w:spacing w:before="4" w:line="256" w:lineRule="auto"/>
        <w:ind w:right="1078"/>
      </w:pPr>
      <w:r>
        <w:t>Monitors</w:t>
      </w:r>
      <w:r>
        <w:rPr>
          <w:spacing w:val="-4"/>
        </w:rPr>
        <w:t xml:space="preserve"> </w:t>
      </w:r>
      <w:r>
        <w:t>the</w:t>
      </w:r>
      <w:r>
        <w:rPr>
          <w:spacing w:val="-4"/>
        </w:rPr>
        <w:t xml:space="preserve"> </w:t>
      </w:r>
      <w:r>
        <w:t>REB’s</w:t>
      </w:r>
      <w:r>
        <w:rPr>
          <w:spacing w:val="-4"/>
        </w:rPr>
        <w:t xml:space="preserve"> </w:t>
      </w:r>
      <w:r>
        <w:t>decisions</w:t>
      </w:r>
      <w:r>
        <w:rPr>
          <w:spacing w:val="-4"/>
        </w:rPr>
        <w:t xml:space="preserve"> </w:t>
      </w:r>
      <w:r>
        <w:t>for consistency</w:t>
      </w:r>
      <w:r>
        <w:rPr>
          <w:spacing w:val="-3"/>
        </w:rPr>
        <w:t xml:space="preserve"> </w:t>
      </w:r>
      <w:r>
        <w:t>and ensures</w:t>
      </w:r>
      <w:r>
        <w:rPr>
          <w:spacing w:val="-4"/>
        </w:rPr>
        <w:t xml:space="preserve"> </w:t>
      </w:r>
      <w:r>
        <w:t>these</w:t>
      </w:r>
      <w:r>
        <w:rPr>
          <w:spacing w:val="-4"/>
        </w:rPr>
        <w:t xml:space="preserve"> </w:t>
      </w:r>
      <w:r>
        <w:t>decisions</w:t>
      </w:r>
      <w:r>
        <w:rPr>
          <w:spacing w:val="-4"/>
        </w:rPr>
        <w:t xml:space="preserve"> </w:t>
      </w:r>
      <w:r>
        <w:t>are</w:t>
      </w:r>
      <w:r>
        <w:rPr>
          <w:spacing w:val="-4"/>
        </w:rPr>
        <w:t xml:space="preserve"> </w:t>
      </w:r>
      <w:r>
        <w:t>recorded</w:t>
      </w:r>
      <w:r>
        <w:rPr>
          <w:spacing w:val="-5"/>
        </w:rPr>
        <w:t xml:space="preserve"> </w:t>
      </w:r>
      <w:r>
        <w:t>accurately,</w:t>
      </w:r>
      <w:r>
        <w:rPr>
          <w:spacing w:val="-7"/>
        </w:rPr>
        <w:t xml:space="preserve"> </w:t>
      </w:r>
      <w:r>
        <w:t xml:space="preserve">and communicated clearly to the </w:t>
      </w:r>
      <w:r w:rsidR="00802BBE">
        <w:t>Investigator</w:t>
      </w:r>
      <w:r>
        <w:t>s in writing as soon as</w:t>
      </w:r>
      <w:r>
        <w:rPr>
          <w:spacing w:val="-24"/>
        </w:rPr>
        <w:t xml:space="preserve"> </w:t>
      </w:r>
      <w:r>
        <w:t>possible.</w:t>
      </w:r>
    </w:p>
    <w:p w14:paraId="0F22511C" w14:textId="48951D23" w:rsidR="002B5470" w:rsidRDefault="00C93594">
      <w:pPr>
        <w:pStyle w:val="ListParagraph"/>
        <w:numPr>
          <w:ilvl w:val="2"/>
          <w:numId w:val="6"/>
        </w:numPr>
        <w:tabs>
          <w:tab w:val="left" w:pos="860"/>
          <w:tab w:val="left" w:pos="861"/>
        </w:tabs>
        <w:spacing w:before="4" w:line="256" w:lineRule="auto"/>
        <w:ind w:right="891"/>
      </w:pPr>
      <w:r>
        <w:t xml:space="preserve">May delegate any of </w:t>
      </w:r>
      <w:r w:rsidR="00114127" w:rsidRPr="00706FE6">
        <w:t>their</w:t>
      </w:r>
      <w:r>
        <w:t xml:space="preserve"> responsibilities to other suitably qualified individual(s) as appropriate.</w:t>
      </w:r>
      <w:r>
        <w:rPr>
          <w:spacing w:val="12"/>
        </w:rPr>
        <w:t xml:space="preserve"> </w:t>
      </w:r>
      <w:r>
        <w:t>Such delegation must be in</w:t>
      </w:r>
      <w:r>
        <w:rPr>
          <w:spacing w:val="-12"/>
        </w:rPr>
        <w:t xml:space="preserve"> </w:t>
      </w:r>
      <w:r>
        <w:t>writing.</w:t>
      </w:r>
    </w:p>
    <w:p w14:paraId="328E4F94" w14:textId="676B7596" w:rsidR="002B5470" w:rsidRDefault="002B5470">
      <w:pPr>
        <w:spacing w:line="256" w:lineRule="auto"/>
        <w:sectPr w:rsidR="002B5470">
          <w:pgSz w:w="12240" w:h="15840"/>
          <w:pgMar w:top="1560" w:right="580" w:bottom="1500" w:left="580" w:header="714" w:footer="1318" w:gutter="0"/>
          <w:cols w:space="720"/>
        </w:sectPr>
      </w:pPr>
    </w:p>
    <w:p w14:paraId="188FA148" w14:textId="77777777" w:rsidR="002B5470" w:rsidRDefault="00C93594">
      <w:pPr>
        <w:pStyle w:val="ListParagraph"/>
        <w:numPr>
          <w:ilvl w:val="2"/>
          <w:numId w:val="6"/>
        </w:numPr>
        <w:tabs>
          <w:tab w:val="left" w:pos="860"/>
          <w:tab w:val="left" w:pos="861"/>
        </w:tabs>
        <w:spacing w:before="182" w:line="259" w:lineRule="auto"/>
        <w:ind w:left="859" w:right="402" w:hanging="360"/>
      </w:pPr>
      <w:r>
        <w:lastRenderedPageBreak/>
        <w:t>Convenes</w:t>
      </w:r>
      <w:r>
        <w:rPr>
          <w:spacing w:val="-3"/>
        </w:rPr>
        <w:t xml:space="preserve"> </w:t>
      </w:r>
      <w:r>
        <w:t>administrative</w:t>
      </w:r>
      <w:r>
        <w:rPr>
          <w:spacing w:val="-3"/>
        </w:rPr>
        <w:t xml:space="preserve"> </w:t>
      </w:r>
      <w:r>
        <w:t>meetings</w:t>
      </w:r>
      <w:r>
        <w:rPr>
          <w:spacing w:val="-2"/>
        </w:rPr>
        <w:t xml:space="preserve"> </w:t>
      </w:r>
      <w:r>
        <w:t>with</w:t>
      </w:r>
      <w:r>
        <w:rPr>
          <w:spacing w:val="-4"/>
        </w:rPr>
        <w:t xml:space="preserve"> </w:t>
      </w:r>
      <w:r>
        <w:t>the</w:t>
      </w:r>
      <w:r>
        <w:rPr>
          <w:spacing w:val="-3"/>
        </w:rPr>
        <w:t xml:space="preserve"> </w:t>
      </w:r>
      <w:r>
        <w:t>Vice-Chair(s),</w:t>
      </w:r>
      <w:r>
        <w:rPr>
          <w:spacing w:val="-5"/>
        </w:rPr>
        <w:t xml:space="preserve"> </w:t>
      </w:r>
      <w:r>
        <w:t>IMHR</w:t>
      </w:r>
      <w:r>
        <w:rPr>
          <w:spacing w:val="-3"/>
        </w:rPr>
        <w:t xml:space="preserve"> </w:t>
      </w:r>
      <w:r>
        <w:t>Clinical</w:t>
      </w:r>
      <w:r>
        <w:rPr>
          <w:spacing w:val="-1"/>
        </w:rPr>
        <w:t xml:space="preserve"> </w:t>
      </w:r>
      <w:r>
        <w:t>Research</w:t>
      </w:r>
      <w:r>
        <w:rPr>
          <w:spacing w:val="-3"/>
        </w:rPr>
        <w:t xml:space="preserve"> </w:t>
      </w:r>
      <w:r>
        <w:t>Support</w:t>
      </w:r>
      <w:r>
        <w:rPr>
          <w:spacing w:val="-5"/>
        </w:rPr>
        <w:t xml:space="preserve"> </w:t>
      </w:r>
      <w:r>
        <w:t>Manager,</w:t>
      </w:r>
      <w:r>
        <w:rPr>
          <w:spacing w:val="-6"/>
        </w:rPr>
        <w:t xml:space="preserve"> </w:t>
      </w:r>
      <w:r>
        <w:t>and</w:t>
      </w:r>
      <w:r>
        <w:rPr>
          <w:spacing w:val="-3"/>
        </w:rPr>
        <w:t xml:space="preserve"> </w:t>
      </w:r>
      <w:r>
        <w:t>IMHR President/ROHCG Vice-President Research or designate on a quarterly basis and notifies them of any major events.</w:t>
      </w:r>
    </w:p>
    <w:p w14:paraId="592B09B1" w14:textId="77777777" w:rsidR="002B5470" w:rsidRDefault="00C93594">
      <w:pPr>
        <w:pStyle w:val="ListParagraph"/>
        <w:numPr>
          <w:ilvl w:val="2"/>
          <w:numId w:val="6"/>
        </w:numPr>
        <w:tabs>
          <w:tab w:val="left" w:pos="859"/>
          <w:tab w:val="left" w:pos="860"/>
        </w:tabs>
        <w:spacing w:before="2" w:line="261" w:lineRule="auto"/>
        <w:ind w:left="859" w:right="459"/>
      </w:pPr>
      <w:r>
        <w:t>Guides</w:t>
      </w:r>
      <w:r>
        <w:rPr>
          <w:spacing w:val="-5"/>
        </w:rPr>
        <w:t xml:space="preserve"> </w:t>
      </w:r>
      <w:r>
        <w:t>the</w:t>
      </w:r>
      <w:r>
        <w:rPr>
          <w:spacing w:val="-4"/>
        </w:rPr>
        <w:t xml:space="preserve"> </w:t>
      </w:r>
      <w:r>
        <w:t>IMHR</w:t>
      </w:r>
      <w:r>
        <w:rPr>
          <w:spacing w:val="-4"/>
        </w:rPr>
        <w:t xml:space="preserve"> </w:t>
      </w:r>
      <w:r>
        <w:t>Clinical</w:t>
      </w:r>
      <w:r>
        <w:rPr>
          <w:spacing w:val="-2"/>
        </w:rPr>
        <w:t xml:space="preserve"> </w:t>
      </w:r>
      <w:r>
        <w:t>Research</w:t>
      </w:r>
      <w:r>
        <w:rPr>
          <w:spacing w:val="-5"/>
        </w:rPr>
        <w:t xml:space="preserve"> </w:t>
      </w:r>
      <w:r>
        <w:t>Support</w:t>
      </w:r>
      <w:r>
        <w:rPr>
          <w:spacing w:val="-2"/>
        </w:rPr>
        <w:t xml:space="preserve"> </w:t>
      </w:r>
      <w:r>
        <w:t>Manager</w:t>
      </w:r>
      <w:r>
        <w:rPr>
          <w:spacing w:val="-4"/>
        </w:rPr>
        <w:t xml:space="preserve"> </w:t>
      </w:r>
      <w:r>
        <w:t>and</w:t>
      </w:r>
      <w:r>
        <w:rPr>
          <w:spacing w:val="-5"/>
        </w:rPr>
        <w:t xml:space="preserve"> </w:t>
      </w:r>
      <w:r>
        <w:t>the</w:t>
      </w:r>
      <w:r>
        <w:rPr>
          <w:spacing w:val="-4"/>
        </w:rPr>
        <w:t xml:space="preserve"> </w:t>
      </w:r>
      <w:r>
        <w:t>REB Office</w:t>
      </w:r>
      <w:r>
        <w:rPr>
          <w:spacing w:val="-5"/>
        </w:rPr>
        <w:t xml:space="preserve"> </w:t>
      </w:r>
      <w:r>
        <w:t>Coordinator(s)</w:t>
      </w:r>
      <w:r>
        <w:rPr>
          <w:spacing w:val="-4"/>
        </w:rPr>
        <w:t xml:space="preserve"> </w:t>
      </w:r>
      <w:r>
        <w:t>on correspondence</w:t>
      </w:r>
      <w:r>
        <w:rPr>
          <w:spacing w:val="1"/>
        </w:rPr>
        <w:t xml:space="preserve"> </w:t>
      </w:r>
      <w:r>
        <w:t>to investigators.</w:t>
      </w:r>
    </w:p>
    <w:p w14:paraId="631FB087" w14:textId="77777777" w:rsidR="002B5470" w:rsidRDefault="00C93594">
      <w:pPr>
        <w:pStyle w:val="Heading1"/>
        <w:numPr>
          <w:ilvl w:val="1"/>
          <w:numId w:val="6"/>
        </w:numPr>
        <w:tabs>
          <w:tab w:val="left" w:pos="515"/>
        </w:tabs>
        <w:spacing w:before="153"/>
        <w:ind w:left="514" w:hanging="376"/>
      </w:pPr>
      <w:r>
        <w:t>Responsibilities of the</w:t>
      </w:r>
      <w:r>
        <w:rPr>
          <w:spacing w:val="-8"/>
        </w:rPr>
        <w:t xml:space="preserve"> </w:t>
      </w:r>
      <w:r>
        <w:t>Vice-Chair</w:t>
      </w:r>
    </w:p>
    <w:p w14:paraId="51C41417" w14:textId="77777777" w:rsidR="002B5470" w:rsidRDefault="00C93594">
      <w:pPr>
        <w:pStyle w:val="ListParagraph"/>
        <w:numPr>
          <w:ilvl w:val="2"/>
          <w:numId w:val="6"/>
        </w:numPr>
        <w:tabs>
          <w:tab w:val="left" w:pos="859"/>
          <w:tab w:val="left" w:pos="860"/>
        </w:tabs>
        <w:spacing w:before="181"/>
        <w:ind w:left="859"/>
      </w:pPr>
      <w:r>
        <w:t>Undertake the responsibilities of the Chair when the Chair is unable to do</w:t>
      </w:r>
      <w:r>
        <w:rPr>
          <w:spacing w:val="-32"/>
        </w:rPr>
        <w:t xml:space="preserve"> </w:t>
      </w:r>
      <w:r>
        <w:t>so.</w:t>
      </w:r>
    </w:p>
    <w:p w14:paraId="6A43A985" w14:textId="77777777" w:rsidR="002B5470" w:rsidRDefault="00C93594">
      <w:pPr>
        <w:pStyle w:val="ListParagraph"/>
        <w:numPr>
          <w:ilvl w:val="2"/>
          <w:numId w:val="6"/>
        </w:numPr>
        <w:tabs>
          <w:tab w:val="left" w:pos="859"/>
          <w:tab w:val="left" w:pos="860"/>
        </w:tabs>
        <w:spacing w:before="22"/>
        <w:ind w:left="859"/>
      </w:pPr>
      <w:r>
        <w:t>Carry out the responsibilities assigned to them by the</w:t>
      </w:r>
      <w:r>
        <w:rPr>
          <w:spacing w:val="-15"/>
        </w:rPr>
        <w:t xml:space="preserve"> </w:t>
      </w:r>
      <w:r>
        <w:t>Chair.</w:t>
      </w:r>
    </w:p>
    <w:p w14:paraId="40CB3420" w14:textId="77777777" w:rsidR="002B5470" w:rsidRDefault="00C93594">
      <w:pPr>
        <w:pStyle w:val="ListParagraph"/>
        <w:numPr>
          <w:ilvl w:val="2"/>
          <w:numId w:val="6"/>
        </w:numPr>
        <w:tabs>
          <w:tab w:val="left" w:pos="859"/>
          <w:tab w:val="left" w:pos="860"/>
        </w:tabs>
        <w:spacing w:before="22"/>
      </w:pPr>
      <w:r>
        <w:t>Chair the REB meeting as</w:t>
      </w:r>
      <w:r>
        <w:rPr>
          <w:spacing w:val="-9"/>
        </w:rPr>
        <w:t xml:space="preserve"> </w:t>
      </w:r>
      <w:r>
        <w:t>required.</w:t>
      </w:r>
    </w:p>
    <w:p w14:paraId="4E9B7D2D" w14:textId="77777777" w:rsidR="002B5470" w:rsidRDefault="00C93594">
      <w:pPr>
        <w:pStyle w:val="ListParagraph"/>
        <w:numPr>
          <w:ilvl w:val="2"/>
          <w:numId w:val="6"/>
        </w:numPr>
        <w:tabs>
          <w:tab w:val="left" w:pos="860"/>
          <w:tab w:val="left" w:pos="861"/>
        </w:tabs>
        <w:spacing w:before="22"/>
      </w:pPr>
      <w:r>
        <w:t>Assist in the overall operation of the</w:t>
      </w:r>
      <w:r>
        <w:rPr>
          <w:spacing w:val="-17"/>
        </w:rPr>
        <w:t xml:space="preserve"> </w:t>
      </w:r>
      <w:r>
        <w:t>REB.</w:t>
      </w:r>
    </w:p>
    <w:p w14:paraId="3E1E011D" w14:textId="1C568FC7" w:rsidR="002B5470" w:rsidRDefault="00C93594">
      <w:pPr>
        <w:pStyle w:val="ListParagraph"/>
        <w:numPr>
          <w:ilvl w:val="2"/>
          <w:numId w:val="6"/>
        </w:numPr>
        <w:tabs>
          <w:tab w:val="left" w:pos="860"/>
          <w:tab w:val="left" w:pos="861"/>
        </w:tabs>
        <w:spacing w:before="18" w:line="256" w:lineRule="auto"/>
        <w:ind w:right="1078"/>
      </w:pPr>
      <w:r>
        <w:t>Monitor</w:t>
      </w:r>
      <w:r>
        <w:rPr>
          <w:spacing w:val="-4"/>
        </w:rPr>
        <w:t xml:space="preserve"> </w:t>
      </w:r>
      <w:r>
        <w:t>the</w:t>
      </w:r>
      <w:r>
        <w:rPr>
          <w:spacing w:val="-3"/>
        </w:rPr>
        <w:t xml:space="preserve"> </w:t>
      </w:r>
      <w:r>
        <w:t>REB’s</w:t>
      </w:r>
      <w:r>
        <w:rPr>
          <w:spacing w:val="-4"/>
        </w:rPr>
        <w:t xml:space="preserve"> </w:t>
      </w:r>
      <w:r>
        <w:t>decisions</w:t>
      </w:r>
      <w:r>
        <w:rPr>
          <w:spacing w:val="-3"/>
        </w:rPr>
        <w:t xml:space="preserve"> </w:t>
      </w:r>
      <w:r>
        <w:t>for</w:t>
      </w:r>
      <w:r>
        <w:rPr>
          <w:spacing w:val="-3"/>
        </w:rPr>
        <w:t xml:space="preserve"> </w:t>
      </w:r>
      <w:r>
        <w:t>consistency</w:t>
      </w:r>
      <w:r>
        <w:rPr>
          <w:spacing w:val="-3"/>
        </w:rPr>
        <w:t xml:space="preserve"> </w:t>
      </w:r>
      <w:r>
        <w:t>and</w:t>
      </w:r>
      <w:r>
        <w:rPr>
          <w:spacing w:val="1"/>
        </w:rPr>
        <w:t xml:space="preserve"> </w:t>
      </w:r>
      <w:r>
        <w:t>ensure</w:t>
      </w:r>
      <w:r>
        <w:rPr>
          <w:spacing w:val="-3"/>
        </w:rPr>
        <w:t xml:space="preserve"> </w:t>
      </w:r>
      <w:r>
        <w:t>that</w:t>
      </w:r>
      <w:r>
        <w:rPr>
          <w:spacing w:val="-1"/>
        </w:rPr>
        <w:t xml:space="preserve"> </w:t>
      </w:r>
      <w:r>
        <w:t>the</w:t>
      </w:r>
      <w:r>
        <w:rPr>
          <w:spacing w:val="-3"/>
        </w:rPr>
        <w:t xml:space="preserve"> </w:t>
      </w:r>
      <w:r>
        <w:t>decisions</w:t>
      </w:r>
      <w:r>
        <w:rPr>
          <w:spacing w:val="-4"/>
        </w:rPr>
        <w:t xml:space="preserve"> </w:t>
      </w:r>
      <w:r>
        <w:t>are</w:t>
      </w:r>
      <w:r>
        <w:rPr>
          <w:spacing w:val="-3"/>
        </w:rPr>
        <w:t xml:space="preserve"> </w:t>
      </w:r>
      <w:r>
        <w:t>recorded</w:t>
      </w:r>
      <w:r>
        <w:rPr>
          <w:spacing w:val="-4"/>
        </w:rPr>
        <w:t xml:space="preserve"> </w:t>
      </w:r>
      <w:r>
        <w:t>accurately</w:t>
      </w:r>
      <w:r>
        <w:rPr>
          <w:spacing w:val="-3"/>
        </w:rPr>
        <w:t xml:space="preserve"> </w:t>
      </w:r>
      <w:r>
        <w:t xml:space="preserve">and communicated clearly to the </w:t>
      </w:r>
      <w:r w:rsidR="00802BBE">
        <w:t>Investigator</w:t>
      </w:r>
      <w:r>
        <w:t>s in writing as soon as</w:t>
      </w:r>
      <w:r>
        <w:rPr>
          <w:spacing w:val="-24"/>
        </w:rPr>
        <w:t xml:space="preserve"> </w:t>
      </w:r>
      <w:r>
        <w:t>possible.</w:t>
      </w:r>
    </w:p>
    <w:p w14:paraId="201D803E" w14:textId="77777777" w:rsidR="002B5470" w:rsidRDefault="00C93594">
      <w:pPr>
        <w:pStyle w:val="ListParagraph"/>
        <w:numPr>
          <w:ilvl w:val="2"/>
          <w:numId w:val="6"/>
        </w:numPr>
        <w:tabs>
          <w:tab w:val="left" w:pos="860"/>
          <w:tab w:val="left" w:pos="861"/>
        </w:tabs>
        <w:spacing w:before="8"/>
      </w:pPr>
      <w:r>
        <w:t>Guide the Clinical Research Support Manager and REB Coordinator(s) on correspondence to</w:t>
      </w:r>
      <w:r>
        <w:rPr>
          <w:spacing w:val="-25"/>
        </w:rPr>
        <w:t xml:space="preserve"> </w:t>
      </w:r>
      <w:r>
        <w:t>investigators.</w:t>
      </w:r>
    </w:p>
    <w:p w14:paraId="26CD81AC" w14:textId="77777777" w:rsidR="002B5470" w:rsidRDefault="00C93594">
      <w:pPr>
        <w:pStyle w:val="Heading1"/>
        <w:numPr>
          <w:ilvl w:val="1"/>
          <w:numId w:val="6"/>
        </w:numPr>
        <w:tabs>
          <w:tab w:val="left" w:pos="515"/>
        </w:tabs>
        <w:spacing w:before="183"/>
        <w:ind w:left="514" w:hanging="375"/>
      </w:pPr>
      <w:r>
        <w:t>Selection, Term and</w:t>
      </w:r>
      <w:r>
        <w:rPr>
          <w:spacing w:val="-7"/>
        </w:rPr>
        <w:t xml:space="preserve"> </w:t>
      </w:r>
      <w:r>
        <w:t>Evaluation</w:t>
      </w:r>
    </w:p>
    <w:p w14:paraId="34F47156" w14:textId="3FD68312" w:rsidR="002B5470" w:rsidRDefault="00C93594">
      <w:pPr>
        <w:pStyle w:val="ListParagraph"/>
        <w:numPr>
          <w:ilvl w:val="2"/>
          <w:numId w:val="6"/>
        </w:numPr>
        <w:tabs>
          <w:tab w:val="left" w:pos="860"/>
          <w:tab w:val="left" w:pos="861"/>
        </w:tabs>
        <w:spacing w:before="180" w:line="256" w:lineRule="auto"/>
        <w:ind w:left="859" w:right="229" w:hanging="360"/>
      </w:pPr>
      <w:r>
        <w:t>Following</w:t>
      </w:r>
      <w:r>
        <w:rPr>
          <w:spacing w:val="-2"/>
        </w:rPr>
        <w:t xml:space="preserve"> </w:t>
      </w:r>
      <w:r>
        <w:t>a</w:t>
      </w:r>
      <w:r>
        <w:rPr>
          <w:spacing w:val="-3"/>
        </w:rPr>
        <w:t xml:space="preserve"> </w:t>
      </w:r>
      <w:r>
        <w:t>call</w:t>
      </w:r>
      <w:r>
        <w:rPr>
          <w:spacing w:val="-1"/>
        </w:rPr>
        <w:t xml:space="preserve"> </w:t>
      </w:r>
      <w:r>
        <w:t>for</w:t>
      </w:r>
      <w:r>
        <w:rPr>
          <w:spacing w:val="-3"/>
        </w:rPr>
        <w:t xml:space="preserve"> </w:t>
      </w:r>
      <w:r>
        <w:t>nominations,</w:t>
      </w:r>
      <w:r>
        <w:rPr>
          <w:spacing w:val="-6"/>
        </w:rPr>
        <w:t xml:space="preserve"> </w:t>
      </w:r>
      <w:r>
        <w:t>a</w:t>
      </w:r>
      <w:r>
        <w:rPr>
          <w:spacing w:val="-3"/>
        </w:rPr>
        <w:t xml:space="preserve"> </w:t>
      </w:r>
      <w:r>
        <w:t>short list</w:t>
      </w:r>
      <w:r>
        <w:rPr>
          <w:spacing w:val="-5"/>
        </w:rPr>
        <w:t xml:space="preserve"> </w:t>
      </w:r>
      <w:r>
        <w:t>of</w:t>
      </w:r>
      <w:r>
        <w:rPr>
          <w:spacing w:val="-2"/>
        </w:rPr>
        <w:t xml:space="preserve"> </w:t>
      </w:r>
      <w:proofErr w:type="gramStart"/>
      <w:r>
        <w:t>candidate</w:t>
      </w:r>
      <w:proofErr w:type="gramEnd"/>
      <w:r>
        <w:t>(s)</w:t>
      </w:r>
      <w:r>
        <w:rPr>
          <w:spacing w:val="-3"/>
        </w:rPr>
        <w:t xml:space="preserve"> </w:t>
      </w:r>
      <w:r>
        <w:t>will</w:t>
      </w:r>
      <w:r>
        <w:rPr>
          <w:spacing w:val="-1"/>
        </w:rPr>
        <w:t xml:space="preserve"> </w:t>
      </w:r>
      <w:r>
        <w:t>be</w:t>
      </w:r>
      <w:r>
        <w:rPr>
          <w:spacing w:val="-3"/>
        </w:rPr>
        <w:t xml:space="preserve"> </w:t>
      </w:r>
      <w:r>
        <w:t>recommended</w:t>
      </w:r>
      <w:r>
        <w:rPr>
          <w:spacing w:val="-4"/>
        </w:rPr>
        <w:t xml:space="preserve"> </w:t>
      </w:r>
      <w:r>
        <w:t>by</w:t>
      </w:r>
      <w:r>
        <w:rPr>
          <w:spacing w:val="-2"/>
        </w:rPr>
        <w:t xml:space="preserve"> </w:t>
      </w:r>
      <w:r>
        <w:t>the</w:t>
      </w:r>
      <w:r>
        <w:rPr>
          <w:spacing w:val="-3"/>
        </w:rPr>
        <w:t xml:space="preserve"> </w:t>
      </w:r>
      <w:r>
        <w:t>ROHCG</w:t>
      </w:r>
      <w:r>
        <w:rPr>
          <w:spacing w:val="-3"/>
        </w:rPr>
        <w:t xml:space="preserve"> </w:t>
      </w:r>
      <w:r>
        <w:t xml:space="preserve">President/CEO, IMHR President/ROHCG Vice-President Research, ROHCG Psychiatrist-in-Chief/Chief of Staff, and </w:t>
      </w:r>
      <w:r w:rsidR="005C6294">
        <w:t>Atlas</w:t>
      </w:r>
      <w:r>
        <w:t xml:space="preserve"> President/CEO to the ROHCG Quality Committee, who in turn will provide the final recommendation to the ROHCG Board of</w:t>
      </w:r>
      <w:r>
        <w:rPr>
          <w:spacing w:val="-9"/>
        </w:rPr>
        <w:t xml:space="preserve"> </w:t>
      </w:r>
      <w:r>
        <w:t>Trustees.</w:t>
      </w:r>
    </w:p>
    <w:p w14:paraId="20ACBF85" w14:textId="77777777" w:rsidR="002B5470" w:rsidRDefault="00C93594">
      <w:pPr>
        <w:pStyle w:val="ListParagraph"/>
        <w:numPr>
          <w:ilvl w:val="2"/>
          <w:numId w:val="6"/>
        </w:numPr>
        <w:tabs>
          <w:tab w:val="left" w:pos="860"/>
        </w:tabs>
        <w:spacing w:before="6" w:line="259" w:lineRule="auto"/>
        <w:ind w:left="859" w:right="642" w:hanging="360"/>
        <w:jc w:val="both"/>
      </w:pPr>
      <w:r>
        <w:t>The REB Chair and/or Vice-Chair(s) will undergo annual performance evaluations. Performance criteria will include the ability to fulfill the role, attendance at REB meetings, compliance with REB SOPs, guidelines and regulations,</w:t>
      </w:r>
      <w:r>
        <w:rPr>
          <w:spacing w:val="-6"/>
        </w:rPr>
        <w:t xml:space="preserve"> </w:t>
      </w:r>
      <w:r>
        <w:t>as</w:t>
      </w:r>
      <w:r>
        <w:rPr>
          <w:spacing w:val="-3"/>
        </w:rPr>
        <w:t xml:space="preserve"> </w:t>
      </w:r>
      <w:r>
        <w:t>per</w:t>
      </w:r>
      <w:r>
        <w:rPr>
          <w:spacing w:val="-3"/>
        </w:rPr>
        <w:t xml:space="preserve"> </w:t>
      </w:r>
      <w:r>
        <w:t>description</w:t>
      </w:r>
      <w:r>
        <w:rPr>
          <w:spacing w:val="-3"/>
        </w:rPr>
        <w:t xml:space="preserve"> </w:t>
      </w:r>
      <w:r>
        <w:t>of</w:t>
      </w:r>
      <w:r>
        <w:rPr>
          <w:spacing w:val="-3"/>
        </w:rPr>
        <w:t xml:space="preserve"> </w:t>
      </w:r>
      <w:r>
        <w:t>the</w:t>
      </w:r>
      <w:r>
        <w:rPr>
          <w:spacing w:val="-3"/>
        </w:rPr>
        <w:t xml:space="preserve"> </w:t>
      </w:r>
      <w:r>
        <w:t>role.</w:t>
      </w:r>
      <w:r>
        <w:rPr>
          <w:spacing w:val="-1"/>
        </w:rPr>
        <w:t xml:space="preserve"> </w:t>
      </w:r>
      <w:r>
        <w:t>Board</w:t>
      </w:r>
      <w:r>
        <w:rPr>
          <w:spacing w:val="-3"/>
        </w:rPr>
        <w:t xml:space="preserve"> </w:t>
      </w:r>
      <w:r>
        <w:t>discussions</w:t>
      </w:r>
      <w:r>
        <w:rPr>
          <w:spacing w:val="-3"/>
        </w:rPr>
        <w:t xml:space="preserve"> </w:t>
      </w:r>
      <w:r>
        <w:t>may</w:t>
      </w:r>
      <w:r>
        <w:rPr>
          <w:spacing w:val="-2"/>
        </w:rPr>
        <w:t xml:space="preserve"> </w:t>
      </w:r>
      <w:r>
        <w:t>occur</w:t>
      </w:r>
      <w:r>
        <w:rPr>
          <w:spacing w:val="-2"/>
        </w:rPr>
        <w:t xml:space="preserve"> </w:t>
      </w:r>
      <w:r>
        <w:t>in</w:t>
      </w:r>
      <w:r>
        <w:rPr>
          <w:spacing w:val="-4"/>
        </w:rPr>
        <w:t xml:space="preserve"> </w:t>
      </w:r>
      <w:r>
        <w:t>a</w:t>
      </w:r>
      <w:r>
        <w:rPr>
          <w:spacing w:val="1"/>
        </w:rPr>
        <w:t xml:space="preserve"> </w:t>
      </w:r>
      <w:r>
        <w:t>closed</w:t>
      </w:r>
      <w:r>
        <w:rPr>
          <w:spacing w:val="-4"/>
        </w:rPr>
        <w:t xml:space="preserve"> </w:t>
      </w:r>
      <w:r>
        <w:t>or</w:t>
      </w:r>
      <w:r>
        <w:rPr>
          <w:spacing w:val="-2"/>
        </w:rPr>
        <w:t xml:space="preserve"> </w:t>
      </w:r>
      <w:r>
        <w:t>restricted</w:t>
      </w:r>
      <w:r>
        <w:rPr>
          <w:spacing w:val="-4"/>
        </w:rPr>
        <w:t xml:space="preserve"> </w:t>
      </w:r>
      <w:r>
        <w:t>session.</w:t>
      </w:r>
    </w:p>
    <w:p w14:paraId="1E3C0B8A" w14:textId="236F2D75" w:rsidR="002B5470" w:rsidRDefault="00C93594">
      <w:pPr>
        <w:pStyle w:val="ListParagraph"/>
        <w:numPr>
          <w:ilvl w:val="2"/>
          <w:numId w:val="6"/>
        </w:numPr>
        <w:tabs>
          <w:tab w:val="left" w:pos="859"/>
          <w:tab w:val="left" w:pos="860"/>
        </w:tabs>
        <w:spacing w:before="1" w:line="259" w:lineRule="auto"/>
        <w:ind w:left="859" w:right="167" w:hanging="360"/>
      </w:pPr>
      <w:r>
        <w:t>Performance evaluations: with input from the ROHCG President/CEO, IMHR President/ROHCG Vice-President Research,</w:t>
      </w:r>
      <w:r>
        <w:rPr>
          <w:spacing w:val="-6"/>
        </w:rPr>
        <w:t xml:space="preserve"> </w:t>
      </w:r>
      <w:r>
        <w:t>ROHCG</w:t>
      </w:r>
      <w:r>
        <w:rPr>
          <w:spacing w:val="-3"/>
        </w:rPr>
        <w:t xml:space="preserve"> </w:t>
      </w:r>
      <w:r>
        <w:t>Psychiatrist-in-Chief/Chief</w:t>
      </w:r>
      <w:r>
        <w:rPr>
          <w:spacing w:val="-4"/>
        </w:rPr>
        <w:t xml:space="preserve"> </w:t>
      </w:r>
      <w:r>
        <w:t>of</w:t>
      </w:r>
      <w:r>
        <w:rPr>
          <w:spacing w:val="-3"/>
        </w:rPr>
        <w:t xml:space="preserve"> </w:t>
      </w:r>
      <w:r>
        <w:t>Staff,</w:t>
      </w:r>
      <w:r>
        <w:rPr>
          <w:spacing w:val="-6"/>
        </w:rPr>
        <w:t xml:space="preserve"> </w:t>
      </w:r>
      <w:r>
        <w:t>and</w:t>
      </w:r>
      <w:r>
        <w:rPr>
          <w:spacing w:val="-4"/>
        </w:rPr>
        <w:t xml:space="preserve"> </w:t>
      </w:r>
      <w:r w:rsidR="005C6294">
        <w:t>Atlas</w:t>
      </w:r>
      <w:r>
        <w:rPr>
          <w:spacing w:val="-6"/>
        </w:rPr>
        <w:t xml:space="preserve"> </w:t>
      </w:r>
      <w:r>
        <w:t>President/CEO,</w:t>
      </w:r>
      <w:r>
        <w:rPr>
          <w:spacing w:val="-4"/>
        </w:rPr>
        <w:t xml:space="preserve"> </w:t>
      </w:r>
      <w:r>
        <w:t>the</w:t>
      </w:r>
      <w:r>
        <w:rPr>
          <w:spacing w:val="-3"/>
        </w:rPr>
        <w:t xml:space="preserve"> </w:t>
      </w:r>
      <w:r>
        <w:t>ROHCG</w:t>
      </w:r>
      <w:r>
        <w:rPr>
          <w:spacing w:val="-3"/>
        </w:rPr>
        <w:t xml:space="preserve"> </w:t>
      </w:r>
      <w:r>
        <w:t>Quality</w:t>
      </w:r>
      <w:r>
        <w:rPr>
          <w:spacing w:val="-2"/>
        </w:rPr>
        <w:t xml:space="preserve"> </w:t>
      </w:r>
      <w:r>
        <w:t>Committee</w:t>
      </w:r>
      <w:r>
        <w:rPr>
          <w:spacing w:val="-1"/>
        </w:rPr>
        <w:t xml:space="preserve"> </w:t>
      </w:r>
      <w:r>
        <w:t>will report on the REB Chair performance evaluation to the ROHCG Board of Trustees. Evaluation may include a meeting between the REB Chair and the ROHCG Quality</w:t>
      </w:r>
      <w:r>
        <w:rPr>
          <w:spacing w:val="-19"/>
        </w:rPr>
        <w:t xml:space="preserve"> </w:t>
      </w:r>
      <w:r>
        <w:t>Committee.</w:t>
      </w:r>
    </w:p>
    <w:p w14:paraId="009365C8" w14:textId="7B2FB07A" w:rsidR="002B5470" w:rsidRDefault="00C93594">
      <w:pPr>
        <w:pStyle w:val="ListParagraph"/>
        <w:numPr>
          <w:ilvl w:val="2"/>
          <w:numId w:val="6"/>
        </w:numPr>
        <w:tabs>
          <w:tab w:val="left" w:pos="859"/>
          <w:tab w:val="left" w:pos="860"/>
        </w:tabs>
        <w:spacing w:line="259" w:lineRule="auto"/>
        <w:ind w:left="858" w:right="226" w:hanging="360"/>
      </w:pPr>
      <w:r>
        <w:t>The REB Chair and/or Vice-Chairs will serve a term of up to three</w:t>
      </w:r>
      <w:r w:rsidR="00661266">
        <w:t xml:space="preserve"> (3)</w:t>
      </w:r>
      <w:r>
        <w:t xml:space="preserve"> years, renewable twice, for up to a maximum of three</w:t>
      </w:r>
      <w:r w:rsidR="00661266">
        <w:t xml:space="preserve"> (3)</w:t>
      </w:r>
      <w:r>
        <w:t xml:space="preserve"> terms. Suitability for renewal: with input from the ROHCG President/CEO, IMHR President/ROHCG Vice-President Research, ROHCG Psychiatrist-in-Chief/Chief of Staff, and </w:t>
      </w:r>
      <w:r w:rsidR="005C6294">
        <w:t xml:space="preserve">Atlas </w:t>
      </w:r>
      <w:r>
        <w:t>President/CEO, the ROHCG Quality Committee will recommend renewals to the ROHCG Board of</w:t>
      </w:r>
      <w:r>
        <w:rPr>
          <w:spacing w:val="-23"/>
        </w:rPr>
        <w:t xml:space="preserve"> </w:t>
      </w:r>
      <w:r>
        <w:t>Trustees.</w:t>
      </w:r>
    </w:p>
    <w:p w14:paraId="31B4696C" w14:textId="2F42B562" w:rsidR="002B5470" w:rsidRDefault="00C93594">
      <w:pPr>
        <w:pStyle w:val="ListParagraph"/>
        <w:numPr>
          <w:ilvl w:val="2"/>
          <w:numId w:val="6"/>
        </w:numPr>
        <w:tabs>
          <w:tab w:val="left" w:pos="858"/>
          <w:tab w:val="left" w:pos="859"/>
        </w:tabs>
        <w:spacing w:line="259" w:lineRule="auto"/>
        <w:ind w:left="858" w:right="585"/>
      </w:pPr>
      <w:r>
        <w:t xml:space="preserve">REB members will serve a term of </w:t>
      </w:r>
      <w:r w:rsidR="00661266">
        <w:t>three (</w:t>
      </w:r>
      <w:r>
        <w:t>3</w:t>
      </w:r>
      <w:r w:rsidR="00661266">
        <w:t>)</w:t>
      </w:r>
      <w:r>
        <w:t xml:space="preserve"> years. At the request of the Chair of the REB, and by mutual agreement between the REB member and the Chair of the REB, the REB member’s term may be renewed, for up to a maximum of three</w:t>
      </w:r>
      <w:r w:rsidR="00661266">
        <w:t xml:space="preserve"> (3)</w:t>
      </w:r>
      <w:r>
        <w:t xml:space="preserve"> consecutive</w:t>
      </w:r>
      <w:r>
        <w:rPr>
          <w:spacing w:val="-8"/>
        </w:rPr>
        <w:t xml:space="preserve"> </w:t>
      </w:r>
      <w:r>
        <w:t>terms.</w:t>
      </w:r>
    </w:p>
    <w:p w14:paraId="713D1DD0" w14:textId="77777777" w:rsidR="002B5470" w:rsidRDefault="00C93594">
      <w:pPr>
        <w:pStyle w:val="Heading1"/>
        <w:numPr>
          <w:ilvl w:val="1"/>
          <w:numId w:val="5"/>
        </w:numPr>
        <w:tabs>
          <w:tab w:val="left" w:pos="466"/>
        </w:tabs>
        <w:spacing w:before="160"/>
      </w:pPr>
      <w:r>
        <w:t>BOARD</w:t>
      </w:r>
      <w:r>
        <w:rPr>
          <w:spacing w:val="-3"/>
        </w:rPr>
        <w:t xml:space="preserve"> </w:t>
      </w:r>
      <w:r>
        <w:t>COMPOSITION</w:t>
      </w:r>
    </w:p>
    <w:p w14:paraId="50ADA824" w14:textId="77777777" w:rsidR="002B5470" w:rsidRDefault="00C93594">
      <w:pPr>
        <w:pStyle w:val="ListParagraph"/>
        <w:numPr>
          <w:ilvl w:val="1"/>
          <w:numId w:val="5"/>
        </w:numPr>
        <w:tabs>
          <w:tab w:val="left" w:pos="514"/>
        </w:tabs>
        <w:spacing w:before="178" w:line="259" w:lineRule="auto"/>
        <w:ind w:left="139" w:right="338" w:firstLine="0"/>
      </w:pPr>
      <w:r>
        <w:t>The membership of the REB will be in compliance with Health Canada, current Tri-Council Policy Statement (TCPS) on Ethical Conduct for Research Involving Humans (Article 6.4), the International Council for Harmonisation Good Clinical</w:t>
      </w:r>
      <w:r>
        <w:rPr>
          <w:spacing w:val="-1"/>
        </w:rPr>
        <w:t xml:space="preserve"> </w:t>
      </w:r>
      <w:r>
        <w:t>Practice</w:t>
      </w:r>
      <w:r>
        <w:rPr>
          <w:spacing w:val="-3"/>
        </w:rPr>
        <w:t xml:space="preserve"> </w:t>
      </w:r>
      <w:r>
        <w:t>Guidelines</w:t>
      </w:r>
      <w:r>
        <w:rPr>
          <w:spacing w:val="-3"/>
        </w:rPr>
        <w:t xml:space="preserve"> </w:t>
      </w:r>
      <w:r>
        <w:t>(ICH-GCP</w:t>
      </w:r>
      <w:r>
        <w:rPr>
          <w:spacing w:val="-2"/>
        </w:rPr>
        <w:t xml:space="preserve"> </w:t>
      </w:r>
      <w:r>
        <w:t>3.2.1),</w:t>
      </w:r>
      <w:r>
        <w:rPr>
          <w:spacing w:val="-6"/>
        </w:rPr>
        <w:t xml:space="preserve"> </w:t>
      </w:r>
      <w:r>
        <w:t>the</w:t>
      </w:r>
      <w:r>
        <w:rPr>
          <w:spacing w:val="-3"/>
        </w:rPr>
        <w:t xml:space="preserve"> </w:t>
      </w:r>
      <w:r>
        <w:t>Ontario</w:t>
      </w:r>
      <w:r>
        <w:rPr>
          <w:spacing w:val="-5"/>
        </w:rPr>
        <w:t xml:space="preserve"> </w:t>
      </w:r>
      <w:r>
        <w:t>Personal</w:t>
      </w:r>
      <w:r>
        <w:rPr>
          <w:spacing w:val="-1"/>
        </w:rPr>
        <w:t xml:space="preserve"> </w:t>
      </w:r>
      <w:r>
        <w:t>Health</w:t>
      </w:r>
      <w:r>
        <w:rPr>
          <w:spacing w:val="-4"/>
        </w:rPr>
        <w:t xml:space="preserve"> </w:t>
      </w:r>
      <w:r>
        <w:t>Information</w:t>
      </w:r>
      <w:r>
        <w:rPr>
          <w:spacing w:val="-4"/>
        </w:rPr>
        <w:t xml:space="preserve"> </w:t>
      </w:r>
      <w:r>
        <w:t>Protection</w:t>
      </w:r>
      <w:r>
        <w:rPr>
          <w:spacing w:val="-4"/>
        </w:rPr>
        <w:t xml:space="preserve"> </w:t>
      </w:r>
      <w:r>
        <w:t>Act</w:t>
      </w:r>
      <w:r>
        <w:rPr>
          <w:spacing w:val="-5"/>
        </w:rPr>
        <w:t xml:space="preserve"> </w:t>
      </w:r>
      <w:r>
        <w:t>(PHIPA)</w:t>
      </w:r>
      <w:r>
        <w:rPr>
          <w:spacing w:val="-3"/>
        </w:rPr>
        <w:t xml:space="preserve"> </w:t>
      </w:r>
      <w:r>
        <w:t>(s.15),</w:t>
      </w:r>
      <w:r>
        <w:rPr>
          <w:spacing w:val="-5"/>
        </w:rPr>
        <w:t xml:space="preserve"> </w:t>
      </w:r>
      <w:r>
        <w:t>U.S. Food and Drug Administration Code of Federal Regulations (US FDA CFR 56.107), and the Office for Human Research Protections (OHRP)</w:t>
      </w:r>
      <w:r>
        <w:rPr>
          <w:spacing w:val="-5"/>
        </w:rPr>
        <w:t xml:space="preserve"> </w:t>
      </w:r>
      <w:r>
        <w:t>(46.107).</w:t>
      </w:r>
    </w:p>
    <w:p w14:paraId="31183AC8" w14:textId="77777777" w:rsidR="002B5470" w:rsidRDefault="002B5470">
      <w:pPr>
        <w:spacing w:line="259" w:lineRule="auto"/>
        <w:sectPr w:rsidR="002B5470">
          <w:pgSz w:w="12240" w:h="15840"/>
          <w:pgMar w:top="1560" w:right="580" w:bottom="1500" w:left="580" w:header="714" w:footer="1318" w:gutter="0"/>
          <w:cols w:space="720"/>
        </w:sectPr>
      </w:pPr>
    </w:p>
    <w:p w14:paraId="0993CBFF" w14:textId="77777777" w:rsidR="002B5470" w:rsidRDefault="002B5470">
      <w:pPr>
        <w:pStyle w:val="BodyText"/>
        <w:spacing w:before="6"/>
        <w:ind w:left="0"/>
        <w:rPr>
          <w:sz w:val="23"/>
        </w:rPr>
      </w:pPr>
    </w:p>
    <w:p w14:paraId="0605B81A" w14:textId="77777777" w:rsidR="002B5470" w:rsidRDefault="00C93594">
      <w:pPr>
        <w:pStyle w:val="ListParagraph"/>
        <w:numPr>
          <w:ilvl w:val="1"/>
          <w:numId w:val="5"/>
        </w:numPr>
        <w:tabs>
          <w:tab w:val="left" w:pos="515"/>
        </w:tabs>
        <w:spacing w:before="56" w:line="259" w:lineRule="auto"/>
        <w:ind w:left="140" w:right="213" w:firstLine="0"/>
      </w:pPr>
      <w:r>
        <w:t>Standard Operating Procedures (SOPs) detailing Board composition, appointment, resignation and removal process, duties, term, training requirements, provisions for ad hoc advisory process, quorum requirements, signing authority, application/submission procedures, review criteria, conflict management, and confidentiality. These SOPs have been subject to agreement and approval by the IMHR President/ROHCG Vice-President Research or delegate, REB Chair, and the IMHR Clinical Research Support</w:t>
      </w:r>
      <w:r>
        <w:rPr>
          <w:spacing w:val="-12"/>
        </w:rPr>
        <w:t xml:space="preserve"> </w:t>
      </w:r>
      <w:r>
        <w:t>Manager.</w:t>
      </w:r>
    </w:p>
    <w:p w14:paraId="24747558" w14:textId="77777777" w:rsidR="002B5470" w:rsidRDefault="00C93594">
      <w:pPr>
        <w:pStyle w:val="ListParagraph"/>
        <w:numPr>
          <w:ilvl w:val="1"/>
          <w:numId w:val="5"/>
        </w:numPr>
        <w:tabs>
          <w:tab w:val="left" w:pos="515"/>
        </w:tabs>
        <w:spacing w:before="158" w:line="261" w:lineRule="auto"/>
        <w:ind w:left="140" w:right="537" w:firstLine="0"/>
      </w:pPr>
      <w:r>
        <w:t>Individual members of the REB must be qualified through training, experience, and expertise to assess the acceptability of proposed research in terms of ethical principles and applicable regulations, guidelines and standards related to human participants or human materials</w:t>
      </w:r>
      <w:r>
        <w:rPr>
          <w:spacing w:val="-15"/>
        </w:rPr>
        <w:t xml:space="preserve"> </w:t>
      </w:r>
      <w:r>
        <w:t>protection.</w:t>
      </w:r>
    </w:p>
    <w:p w14:paraId="6E75E939" w14:textId="557A2883" w:rsidR="004C5C19" w:rsidRDefault="00C93594" w:rsidP="00761BF2">
      <w:pPr>
        <w:pStyle w:val="ListParagraph"/>
        <w:numPr>
          <w:ilvl w:val="1"/>
          <w:numId w:val="5"/>
        </w:numPr>
        <w:tabs>
          <w:tab w:val="left" w:pos="515"/>
        </w:tabs>
        <w:spacing w:before="153"/>
      </w:pPr>
      <w:r>
        <w:t xml:space="preserve">Quorum shall consist of </w:t>
      </w:r>
      <w:r w:rsidR="00EF0201">
        <w:t>at least five</w:t>
      </w:r>
      <w:r>
        <w:t xml:space="preserve"> </w:t>
      </w:r>
      <w:r w:rsidR="004C5C19">
        <w:t xml:space="preserve">(5) </w:t>
      </w:r>
      <w:r>
        <w:t>REB members (except REB Chair)</w:t>
      </w:r>
      <w:r w:rsidR="004C5C19">
        <w:t xml:space="preserve">, including (at minimum): </w:t>
      </w:r>
      <w:r w:rsidR="00EF0201">
        <w:t xml:space="preserve"> </w:t>
      </w:r>
    </w:p>
    <w:p w14:paraId="1DA662C4" w14:textId="77777777" w:rsidR="004C5C19" w:rsidRDefault="004C5C19" w:rsidP="00706FE6">
      <w:pPr>
        <w:pStyle w:val="ListParagraph"/>
        <w:numPr>
          <w:ilvl w:val="0"/>
          <w:numId w:val="15"/>
        </w:numPr>
        <w:tabs>
          <w:tab w:val="left" w:pos="515"/>
        </w:tabs>
        <w:spacing w:before="153"/>
        <w:ind w:left="1418"/>
      </w:pPr>
      <w:r>
        <w:t xml:space="preserve">two (2) members with expertise in the relevant disciplines, fields and methodologies covered by the REB </w:t>
      </w:r>
    </w:p>
    <w:p w14:paraId="70F1C938" w14:textId="77777777" w:rsidR="004C5C19" w:rsidRDefault="004C5C19" w:rsidP="00706FE6">
      <w:pPr>
        <w:pStyle w:val="ListParagraph"/>
        <w:numPr>
          <w:ilvl w:val="0"/>
          <w:numId w:val="15"/>
        </w:numPr>
        <w:tabs>
          <w:tab w:val="left" w:pos="515"/>
        </w:tabs>
        <w:spacing w:before="153"/>
        <w:ind w:left="1418"/>
      </w:pPr>
      <w:r>
        <w:t>one (1) member who is primarily experienced in non-scientific disciplines</w:t>
      </w:r>
    </w:p>
    <w:p w14:paraId="38FF1ABC" w14:textId="77777777" w:rsidR="004C5C19" w:rsidRDefault="004C5C19" w:rsidP="00706FE6">
      <w:pPr>
        <w:pStyle w:val="ListParagraph"/>
        <w:numPr>
          <w:ilvl w:val="0"/>
          <w:numId w:val="15"/>
        </w:numPr>
        <w:tabs>
          <w:tab w:val="left" w:pos="515"/>
        </w:tabs>
        <w:spacing w:before="153"/>
        <w:ind w:left="1418"/>
      </w:pPr>
      <w:r>
        <w:t>one (1) member knowledgeable in ethics</w:t>
      </w:r>
    </w:p>
    <w:p w14:paraId="7EF513B2" w14:textId="77777777" w:rsidR="004C5C19" w:rsidRDefault="004C5C19" w:rsidP="00706FE6">
      <w:pPr>
        <w:pStyle w:val="ListParagraph"/>
        <w:numPr>
          <w:ilvl w:val="0"/>
          <w:numId w:val="15"/>
        </w:numPr>
        <w:tabs>
          <w:tab w:val="left" w:pos="515"/>
        </w:tabs>
        <w:spacing w:before="153"/>
        <w:ind w:left="1418"/>
      </w:pPr>
      <w:r>
        <w:t>one (1) member from the community who has no affiliation with the organization(s) and who is not part of the immediate family of a person who is affiliated with the organization</w:t>
      </w:r>
    </w:p>
    <w:p w14:paraId="0DD71393" w14:textId="27FF0F27" w:rsidR="004C5C19" w:rsidRDefault="004C5C19" w:rsidP="00706FE6">
      <w:pPr>
        <w:pStyle w:val="ListParagraph"/>
        <w:numPr>
          <w:ilvl w:val="0"/>
          <w:numId w:val="15"/>
        </w:numPr>
        <w:tabs>
          <w:tab w:val="left" w:pos="515"/>
        </w:tabs>
        <w:spacing w:before="153"/>
        <w:ind w:left="1418"/>
      </w:pPr>
      <w:r>
        <w:t>one (1) member knowledgeable in the relevant law (for biomedical research) additional representation as required by applicable legislation or guidelines</w:t>
      </w:r>
    </w:p>
    <w:p w14:paraId="22C677C7" w14:textId="3C80E70E" w:rsidR="002B5470" w:rsidRDefault="00761BF2" w:rsidP="00706FE6">
      <w:pPr>
        <w:tabs>
          <w:tab w:val="left" w:pos="515"/>
        </w:tabs>
        <w:spacing w:before="153"/>
        <w:ind w:left="138"/>
      </w:pPr>
      <w:r>
        <w:t xml:space="preserve">Exception: </w:t>
      </w:r>
      <w:r w:rsidR="004C5C19">
        <w:t>For research subject to the US Code of Federal Regulations</w:t>
      </w:r>
      <w:r w:rsidR="004C5C19">
        <w:rPr>
          <w:rStyle w:val="CommentReference"/>
        </w:rPr>
        <w:t xml:space="preserve">, </w:t>
      </w:r>
      <w:r w:rsidR="004C5C19">
        <w:t>qu</w:t>
      </w:r>
      <w:r>
        <w:t xml:space="preserve">orum shall consist of one half of REB </w:t>
      </w:r>
      <w:r w:rsidR="004C5C19">
        <w:t xml:space="preserve">voting </w:t>
      </w:r>
      <w:r>
        <w:t xml:space="preserve">members (except REB Chair) plus one. </w:t>
      </w:r>
    </w:p>
    <w:p w14:paraId="32EDD9B9" w14:textId="4A735599" w:rsidR="002B5470" w:rsidRDefault="00C93594">
      <w:pPr>
        <w:pStyle w:val="ListParagraph"/>
        <w:numPr>
          <w:ilvl w:val="1"/>
          <w:numId w:val="5"/>
        </w:numPr>
        <w:tabs>
          <w:tab w:val="left" w:pos="515"/>
        </w:tabs>
        <w:spacing w:before="178" w:line="259" w:lineRule="auto"/>
        <w:ind w:left="139" w:right="259" w:firstLine="0"/>
      </w:pPr>
      <w:r>
        <w:t>All members shall be without conflict of interest in the review/approval process and shall disclose actual, perceived or potential conflicts of interest at the outset of the meeting. Only those REB members who are independent of the investigator</w:t>
      </w:r>
      <w:r>
        <w:rPr>
          <w:spacing w:val="-3"/>
        </w:rPr>
        <w:t xml:space="preserve"> </w:t>
      </w:r>
      <w:r>
        <w:t>and</w:t>
      </w:r>
      <w:r>
        <w:rPr>
          <w:spacing w:val="-4"/>
        </w:rPr>
        <w:t xml:space="preserve"> </w:t>
      </w:r>
      <w:r>
        <w:t>the</w:t>
      </w:r>
      <w:r>
        <w:rPr>
          <w:spacing w:val="-3"/>
        </w:rPr>
        <w:t xml:space="preserve"> </w:t>
      </w:r>
      <w:r>
        <w:t>sponsor</w:t>
      </w:r>
      <w:r>
        <w:rPr>
          <w:spacing w:val="-2"/>
        </w:rPr>
        <w:t xml:space="preserve"> </w:t>
      </w:r>
      <w:r>
        <w:t>of</w:t>
      </w:r>
      <w:r>
        <w:rPr>
          <w:spacing w:val="-3"/>
        </w:rPr>
        <w:t xml:space="preserve"> </w:t>
      </w:r>
      <w:r>
        <w:t>a</w:t>
      </w:r>
      <w:r>
        <w:rPr>
          <w:spacing w:val="1"/>
        </w:rPr>
        <w:t xml:space="preserve"> </w:t>
      </w:r>
      <w:r>
        <w:t>trial</w:t>
      </w:r>
      <w:r>
        <w:rPr>
          <w:spacing w:val="-1"/>
        </w:rPr>
        <w:t xml:space="preserve"> </w:t>
      </w:r>
      <w:r>
        <w:t>should</w:t>
      </w:r>
      <w:r>
        <w:rPr>
          <w:spacing w:val="-3"/>
        </w:rPr>
        <w:t xml:space="preserve"> </w:t>
      </w:r>
      <w:r>
        <w:t>participate</w:t>
      </w:r>
      <w:r>
        <w:rPr>
          <w:spacing w:val="-3"/>
        </w:rPr>
        <w:t xml:space="preserve"> </w:t>
      </w:r>
      <w:r>
        <w:t>in</w:t>
      </w:r>
      <w:r>
        <w:rPr>
          <w:spacing w:val="-4"/>
        </w:rPr>
        <w:t xml:space="preserve"> </w:t>
      </w:r>
      <w:r>
        <w:t>the</w:t>
      </w:r>
      <w:r>
        <w:rPr>
          <w:spacing w:val="-3"/>
        </w:rPr>
        <w:t xml:space="preserve"> </w:t>
      </w:r>
      <w:r>
        <w:t>initial or</w:t>
      </w:r>
      <w:r>
        <w:rPr>
          <w:spacing w:val="-3"/>
        </w:rPr>
        <w:t xml:space="preserve"> </w:t>
      </w:r>
      <w:r>
        <w:t>continuing</w:t>
      </w:r>
      <w:r>
        <w:rPr>
          <w:spacing w:val="-2"/>
        </w:rPr>
        <w:t xml:space="preserve"> </w:t>
      </w:r>
      <w:r>
        <w:t>review</w:t>
      </w:r>
      <w:r>
        <w:rPr>
          <w:spacing w:val="-3"/>
        </w:rPr>
        <w:t xml:space="preserve"> </w:t>
      </w:r>
      <w:r>
        <w:t>of</w:t>
      </w:r>
      <w:r>
        <w:rPr>
          <w:spacing w:val="-3"/>
        </w:rPr>
        <w:t xml:space="preserve"> </w:t>
      </w:r>
      <w:r>
        <w:t>any</w:t>
      </w:r>
      <w:r>
        <w:rPr>
          <w:spacing w:val="-2"/>
        </w:rPr>
        <w:t xml:space="preserve"> </w:t>
      </w:r>
      <w:r>
        <w:t>protocol</w:t>
      </w:r>
      <w:r>
        <w:rPr>
          <w:spacing w:val="-1"/>
        </w:rPr>
        <w:t xml:space="preserve"> </w:t>
      </w:r>
      <w:r>
        <w:t>or</w:t>
      </w:r>
      <w:r>
        <w:rPr>
          <w:spacing w:val="1"/>
        </w:rPr>
        <w:t xml:space="preserve"> </w:t>
      </w:r>
      <w:r>
        <w:t>provide</w:t>
      </w:r>
      <w:r>
        <w:rPr>
          <w:spacing w:val="-3"/>
        </w:rPr>
        <w:t xml:space="preserve"> </w:t>
      </w:r>
      <w:r>
        <w:t>an opinion on a protocol-related ma</w:t>
      </w:r>
      <w:r w:rsidR="00706FE6">
        <w:t>t</w:t>
      </w:r>
      <w:r>
        <w:t>ter, expect to provide information requested by the</w:t>
      </w:r>
      <w:r>
        <w:rPr>
          <w:spacing w:val="-28"/>
        </w:rPr>
        <w:t xml:space="preserve"> </w:t>
      </w:r>
      <w:r>
        <w:t>REB.</w:t>
      </w:r>
    </w:p>
    <w:p w14:paraId="0F2BCC17" w14:textId="660F304E" w:rsidR="00114127" w:rsidRDefault="00955743" w:rsidP="00706FE6">
      <w:pPr>
        <w:pStyle w:val="ListParagraph"/>
        <w:tabs>
          <w:tab w:val="left" w:pos="515"/>
        </w:tabs>
        <w:spacing w:before="178" w:line="259" w:lineRule="auto"/>
        <w:ind w:left="139" w:right="259"/>
      </w:pPr>
      <w:r>
        <w:t>In the event that the REB Chair and REB Vice-</w:t>
      </w:r>
      <w:r w:rsidR="00114127">
        <w:t xml:space="preserve">Chair </w:t>
      </w:r>
      <w:r>
        <w:t>are</w:t>
      </w:r>
      <w:r w:rsidR="00114127">
        <w:t xml:space="preserve"> unable to </w:t>
      </w:r>
      <w:r>
        <w:t>fulfill</w:t>
      </w:r>
      <w:r w:rsidR="00EB54E9">
        <w:t xml:space="preserve"> their duties as chair due to a conflict of interest, the most senior REB member </w:t>
      </w:r>
      <w:r w:rsidR="00A91B58">
        <w:t xml:space="preserve">(based on years of membership) </w:t>
      </w:r>
      <w:r w:rsidR="00EB54E9">
        <w:t xml:space="preserve">shall </w:t>
      </w:r>
      <w:r w:rsidR="009F7854">
        <w:t xml:space="preserve">function as </w:t>
      </w:r>
      <w:r w:rsidR="00EB54E9">
        <w:t xml:space="preserve">chair in their stead. </w:t>
      </w:r>
    </w:p>
    <w:p w14:paraId="69C64C2C" w14:textId="77777777" w:rsidR="002B5470" w:rsidRDefault="00C93594">
      <w:pPr>
        <w:pStyle w:val="BodyText"/>
        <w:spacing w:before="165"/>
      </w:pPr>
      <w:r w:rsidRPr="00706FE6">
        <w:rPr>
          <w:b/>
        </w:rPr>
        <w:t>5.6.</w:t>
      </w:r>
      <w:r>
        <w:t xml:space="preserve"> There shall be French-speaking representation on the REB</w:t>
      </w:r>
    </w:p>
    <w:p w14:paraId="77651623" w14:textId="77777777" w:rsidR="002B5470" w:rsidRDefault="00C93594">
      <w:pPr>
        <w:pStyle w:val="Heading1"/>
        <w:numPr>
          <w:ilvl w:val="1"/>
          <w:numId w:val="4"/>
        </w:numPr>
        <w:tabs>
          <w:tab w:val="left" w:pos="514"/>
        </w:tabs>
        <w:spacing w:before="182"/>
      </w:pPr>
      <w:r>
        <w:t>MEETING FREQUENCY AND</w:t>
      </w:r>
      <w:r>
        <w:rPr>
          <w:spacing w:val="1"/>
        </w:rPr>
        <w:t xml:space="preserve"> </w:t>
      </w:r>
      <w:r>
        <w:t>ATTENDANCE</w:t>
      </w:r>
    </w:p>
    <w:p w14:paraId="7C0F3AF7" w14:textId="65541C16" w:rsidR="002B5470" w:rsidRDefault="00C93594">
      <w:pPr>
        <w:pStyle w:val="ListParagraph"/>
        <w:numPr>
          <w:ilvl w:val="1"/>
          <w:numId w:val="4"/>
        </w:numPr>
        <w:tabs>
          <w:tab w:val="left" w:pos="514"/>
        </w:tabs>
        <w:spacing w:before="178"/>
      </w:pPr>
      <w:r>
        <w:t xml:space="preserve">Meetings will be held on a monthly basis, and additionally at the call of </w:t>
      </w:r>
      <w:proofErr w:type="gramStart"/>
      <w:r>
        <w:t>the</w:t>
      </w:r>
      <w:r w:rsidR="002E4CF4">
        <w:t xml:space="preserve"> </w:t>
      </w:r>
      <w:r>
        <w:rPr>
          <w:spacing w:val="-32"/>
        </w:rPr>
        <w:t xml:space="preserve"> </w:t>
      </w:r>
      <w:r>
        <w:t>Chair</w:t>
      </w:r>
      <w:proofErr w:type="gramEnd"/>
      <w:r>
        <w:t>.</w:t>
      </w:r>
    </w:p>
    <w:p w14:paraId="6F56187A" w14:textId="04ABA0F9" w:rsidR="002B5470" w:rsidRDefault="00C93594">
      <w:pPr>
        <w:pStyle w:val="ListParagraph"/>
        <w:numPr>
          <w:ilvl w:val="1"/>
          <w:numId w:val="4"/>
        </w:numPr>
        <w:tabs>
          <w:tab w:val="left" w:pos="514"/>
        </w:tabs>
        <w:spacing w:before="178" w:line="261" w:lineRule="auto"/>
        <w:ind w:left="139" w:right="321" w:firstLine="0"/>
      </w:pPr>
      <w:r>
        <w:t xml:space="preserve">REB members are expected to attend every REB </w:t>
      </w:r>
      <w:proofErr w:type="gramStart"/>
      <w:r>
        <w:t>meetings</w:t>
      </w:r>
      <w:proofErr w:type="gramEnd"/>
      <w:r>
        <w:t xml:space="preserve"> as well as scheduled educational events/opportunities. Failure to attend a minimum of 66% of the meetings without explanation may be grounds for membership termination from the</w:t>
      </w:r>
      <w:r>
        <w:rPr>
          <w:spacing w:val="-4"/>
        </w:rPr>
        <w:t xml:space="preserve"> </w:t>
      </w:r>
      <w:r>
        <w:t>REB.</w:t>
      </w:r>
    </w:p>
    <w:p w14:paraId="474B2056" w14:textId="4E8FEAE7" w:rsidR="00706FE6" w:rsidRDefault="00706FE6" w:rsidP="00804234">
      <w:pPr>
        <w:tabs>
          <w:tab w:val="left" w:pos="514"/>
        </w:tabs>
        <w:spacing w:before="178" w:line="261" w:lineRule="auto"/>
        <w:ind w:left="139" w:right="321"/>
      </w:pPr>
      <w:r>
        <w:br w:type="page"/>
      </w:r>
    </w:p>
    <w:p w14:paraId="02337C4F" w14:textId="77777777" w:rsidR="00802BBE" w:rsidRDefault="00802BBE" w:rsidP="00804234">
      <w:pPr>
        <w:tabs>
          <w:tab w:val="left" w:pos="514"/>
        </w:tabs>
        <w:spacing w:before="178" w:line="261" w:lineRule="auto"/>
        <w:ind w:left="139" w:right="321"/>
      </w:pPr>
    </w:p>
    <w:p w14:paraId="54F5FF2C" w14:textId="33CA16DD" w:rsidR="002B5470" w:rsidRDefault="00C93594">
      <w:pPr>
        <w:pStyle w:val="Heading1"/>
        <w:numPr>
          <w:ilvl w:val="1"/>
          <w:numId w:val="3"/>
        </w:numPr>
        <w:tabs>
          <w:tab w:val="left" w:pos="466"/>
        </w:tabs>
        <w:spacing w:before="154"/>
      </w:pPr>
      <w:r>
        <w:t xml:space="preserve">RECONSIDERATION </w:t>
      </w:r>
    </w:p>
    <w:p w14:paraId="7C3B3968" w14:textId="6ADBF6CC" w:rsidR="00724B63" w:rsidRPr="00804234" w:rsidRDefault="00802BBE" w:rsidP="00804234">
      <w:pPr>
        <w:pStyle w:val="Heading1"/>
        <w:tabs>
          <w:tab w:val="left" w:pos="466"/>
        </w:tabs>
        <w:spacing w:before="154"/>
        <w:ind w:left="0" w:firstLine="142"/>
        <w:rPr>
          <w:b w:val="0"/>
        </w:rPr>
      </w:pPr>
      <w:r>
        <w:rPr>
          <w:b w:val="0"/>
        </w:rPr>
        <w:t>Investigator</w:t>
      </w:r>
      <w:r w:rsidR="00724B63">
        <w:rPr>
          <w:b w:val="0"/>
        </w:rPr>
        <w:t>s have the right to request, and the REB has an obligation to provide, reconsideration of an REB decision.</w:t>
      </w:r>
    </w:p>
    <w:p w14:paraId="7C4B28C0" w14:textId="23C1A635" w:rsidR="002B5470" w:rsidRDefault="00C93594">
      <w:pPr>
        <w:pStyle w:val="BodyText"/>
        <w:spacing w:before="19" w:line="259" w:lineRule="auto"/>
        <w:ind w:right="549"/>
      </w:pPr>
      <w:r>
        <w:t>Where a</w:t>
      </w:r>
      <w:r w:rsidR="00F70756">
        <w:t xml:space="preserve"> study</w:t>
      </w:r>
      <w:r>
        <w:t xml:space="preserve"> </w:t>
      </w:r>
      <w:r w:rsidR="00F70756">
        <w:t xml:space="preserve">is reviewed and not approved, or where approval is conditional upon revisions to the study which the </w:t>
      </w:r>
      <w:r w:rsidR="00802BBE">
        <w:t>investigator</w:t>
      </w:r>
      <w:r w:rsidR="00F70756">
        <w:t xml:space="preserve"> believes may compromise the feasibility or integrity of the proposed research, the </w:t>
      </w:r>
      <w:r w:rsidR="00802BBE">
        <w:t>Investigator</w:t>
      </w:r>
      <w:r w:rsidR="00F70756">
        <w:t xml:space="preserve"> has a right to request re-consideration by the REB on substantive or procedural grounds</w:t>
      </w:r>
      <w:r w:rsidR="00802BBE">
        <w:t>.</w:t>
      </w:r>
      <w:r w:rsidR="00496CD9">
        <w:t xml:space="preserve"> </w:t>
      </w:r>
      <w:r w:rsidR="00802BBE">
        <w:t>Investigator</w:t>
      </w:r>
      <w:r w:rsidR="00496CD9">
        <w:t>s and REB are expected to engage in meaningful discussions together to ensure high-quality, ethical research.</w:t>
      </w:r>
    </w:p>
    <w:p w14:paraId="6A6751EC" w14:textId="77777777" w:rsidR="002B5470" w:rsidRDefault="002B5470">
      <w:pPr>
        <w:pStyle w:val="BodyText"/>
        <w:spacing w:before="9"/>
        <w:ind w:left="0"/>
        <w:rPr>
          <w:sz w:val="23"/>
        </w:rPr>
      </w:pPr>
    </w:p>
    <w:p w14:paraId="18BEB476" w14:textId="443C7419" w:rsidR="002B5470" w:rsidRDefault="00C93594">
      <w:pPr>
        <w:pStyle w:val="ListParagraph"/>
        <w:numPr>
          <w:ilvl w:val="1"/>
          <w:numId w:val="3"/>
        </w:numPr>
        <w:tabs>
          <w:tab w:val="left" w:pos="514"/>
        </w:tabs>
        <w:spacing w:line="256" w:lineRule="auto"/>
        <w:ind w:left="139" w:right="369" w:firstLine="0"/>
      </w:pPr>
      <w:r>
        <w:t xml:space="preserve">The </w:t>
      </w:r>
      <w:r w:rsidR="00802BBE">
        <w:t>investigator</w:t>
      </w:r>
      <w:r w:rsidR="007F5019">
        <w:t xml:space="preserve"> may seek reconsideration by s</w:t>
      </w:r>
      <w:r w:rsidR="00BB72A6">
        <w:t>ubmitting</w:t>
      </w:r>
      <w:r w:rsidR="007F5019">
        <w:t xml:space="preserve"> a written Request </w:t>
      </w:r>
      <w:r w:rsidR="00BB72A6">
        <w:t>for</w:t>
      </w:r>
      <w:r w:rsidR="007F5019">
        <w:t xml:space="preserve"> Reconsideration to the REB Chair within </w:t>
      </w:r>
      <w:r w:rsidR="00661266">
        <w:t>thirty (</w:t>
      </w:r>
      <w:r w:rsidR="007F5019">
        <w:t>30</w:t>
      </w:r>
      <w:r w:rsidR="00661266">
        <w:t>)</w:t>
      </w:r>
      <w:r w:rsidR="007F5019">
        <w:t xml:space="preserve"> calendar days of receipt of the REB’s written decision. </w:t>
      </w:r>
      <w:r>
        <w:t xml:space="preserve"> </w:t>
      </w:r>
      <w:r w:rsidR="007F5019">
        <w:t xml:space="preserve"> </w:t>
      </w:r>
    </w:p>
    <w:p w14:paraId="671DD1A8" w14:textId="77777777" w:rsidR="002B5470" w:rsidRDefault="002B5470">
      <w:pPr>
        <w:pStyle w:val="BodyText"/>
        <w:ind w:left="0"/>
        <w:rPr>
          <w:sz w:val="24"/>
        </w:rPr>
      </w:pPr>
    </w:p>
    <w:p w14:paraId="0BCE6421" w14:textId="52FB430B" w:rsidR="00C93594" w:rsidRDefault="00C93594" w:rsidP="00804234">
      <w:pPr>
        <w:pStyle w:val="ListParagraph"/>
        <w:numPr>
          <w:ilvl w:val="1"/>
          <w:numId w:val="3"/>
        </w:numPr>
        <w:tabs>
          <w:tab w:val="left" w:pos="567"/>
        </w:tabs>
        <w:spacing w:before="1"/>
        <w:ind w:left="142" w:firstLine="0"/>
      </w:pPr>
      <w:r>
        <w:t xml:space="preserve">The </w:t>
      </w:r>
      <w:r w:rsidR="00BF4823">
        <w:t xml:space="preserve">Request for Reconsideration letter </w:t>
      </w:r>
      <w:r w:rsidR="00030C46">
        <w:t xml:space="preserve">must provide justification for the request based on </w:t>
      </w:r>
      <w:r>
        <w:t>substantive grounds (</w:t>
      </w:r>
      <w:proofErr w:type="gramStart"/>
      <w:r>
        <w:t>e.g.</w:t>
      </w:r>
      <w:proofErr w:type="gramEnd"/>
      <w:r>
        <w:t xml:space="preserve"> noncompliance with a specific article of TCPS2 or a relevant regulat</w:t>
      </w:r>
      <w:r w:rsidR="00BB72A6">
        <w:t>ion</w:t>
      </w:r>
      <w:r>
        <w:t xml:space="preserve"> or guideline)</w:t>
      </w:r>
      <w:r w:rsidR="00BB72A6">
        <w:t xml:space="preserve">, </w:t>
      </w:r>
      <w:r w:rsidR="00086DC6">
        <w:t>or substantive changes to the study from time of the</w:t>
      </w:r>
      <w:r w:rsidR="00BB72A6">
        <w:t xml:space="preserve"> REB</w:t>
      </w:r>
      <w:r w:rsidR="00802BBE">
        <w:t>’</w:t>
      </w:r>
      <w:r w:rsidR="00BB72A6">
        <w:t xml:space="preserve">s </w:t>
      </w:r>
      <w:r w:rsidR="00086DC6">
        <w:t>original</w:t>
      </w:r>
      <w:r w:rsidR="00BB72A6">
        <w:t xml:space="preserve"> review and</w:t>
      </w:r>
      <w:r w:rsidR="00086DC6">
        <w:t xml:space="preserve"> decision</w:t>
      </w:r>
      <w:r>
        <w:t xml:space="preserve">. The onus is on the </w:t>
      </w:r>
      <w:r w:rsidR="00802BBE">
        <w:t>investigator</w:t>
      </w:r>
      <w:r>
        <w:t xml:space="preserve"> to</w:t>
      </w:r>
      <w:r w:rsidR="00BB72A6">
        <w:t xml:space="preserve"> justify </w:t>
      </w:r>
      <w:r>
        <w:t xml:space="preserve">the Request </w:t>
      </w:r>
      <w:r w:rsidR="00BB72A6">
        <w:t>for</w:t>
      </w:r>
      <w:r>
        <w:t xml:space="preserve"> Reconsideration</w:t>
      </w:r>
      <w:r w:rsidR="00BB72A6">
        <w:t xml:space="preserve"> by</w:t>
      </w:r>
      <w:r>
        <w:t xml:space="preserve"> </w:t>
      </w:r>
      <w:r w:rsidR="00030C46">
        <w:t xml:space="preserve">providing </w:t>
      </w:r>
      <w:r>
        <w:t xml:space="preserve">evidence of </w:t>
      </w:r>
      <w:r w:rsidR="00086DC6">
        <w:t xml:space="preserve">study changes or </w:t>
      </w:r>
      <w:r w:rsidR="00BB72A6">
        <w:t>noted</w:t>
      </w:r>
      <w:r w:rsidR="00802BBE">
        <w:t xml:space="preserve"> </w:t>
      </w:r>
      <w:r w:rsidRPr="00C93594">
        <w:t>breaches to the research ethics review process</w:t>
      </w:r>
      <w:r w:rsidR="00661266">
        <w:t>.</w:t>
      </w:r>
      <w:r w:rsidR="00990D79" w:rsidRPr="00990D79">
        <w:t xml:space="preserve"> </w:t>
      </w:r>
    </w:p>
    <w:p w14:paraId="0F596644" w14:textId="77777777" w:rsidR="00C93594" w:rsidRDefault="00C93594" w:rsidP="00804234">
      <w:pPr>
        <w:pStyle w:val="ListParagraph"/>
        <w:tabs>
          <w:tab w:val="left" w:pos="567"/>
        </w:tabs>
        <w:ind w:left="142"/>
      </w:pPr>
    </w:p>
    <w:p w14:paraId="3B1E8CEB" w14:textId="2CA2F8E3" w:rsidR="00C93594" w:rsidRDefault="00C93594" w:rsidP="00804234">
      <w:pPr>
        <w:pStyle w:val="ListParagraph"/>
        <w:numPr>
          <w:ilvl w:val="1"/>
          <w:numId w:val="3"/>
        </w:numPr>
        <w:tabs>
          <w:tab w:val="left" w:pos="567"/>
        </w:tabs>
        <w:spacing w:before="1"/>
        <w:ind w:left="142" w:firstLine="0"/>
      </w:pPr>
      <w:r>
        <w:t xml:space="preserve">The REB Chair will </w:t>
      </w:r>
      <w:r w:rsidR="00EE186A">
        <w:t>ensure</w:t>
      </w:r>
      <w:r>
        <w:t xml:space="preserve"> the requirements </w:t>
      </w:r>
      <w:r w:rsidR="00724B63">
        <w:t>are met</w:t>
      </w:r>
      <w:r>
        <w:t xml:space="preserve"> and confirm receipt </w:t>
      </w:r>
      <w:r w:rsidR="00724B63">
        <w:t>of the request</w:t>
      </w:r>
      <w:r w:rsidR="00030C46">
        <w:t xml:space="preserve"> in a timely manner</w:t>
      </w:r>
      <w:r>
        <w:t xml:space="preserve">. </w:t>
      </w:r>
    </w:p>
    <w:p w14:paraId="5D532EC1" w14:textId="77777777" w:rsidR="00C93594" w:rsidRDefault="00C93594" w:rsidP="00804234">
      <w:pPr>
        <w:pStyle w:val="ListParagraph"/>
        <w:tabs>
          <w:tab w:val="left" w:pos="567"/>
        </w:tabs>
        <w:ind w:left="142"/>
      </w:pPr>
    </w:p>
    <w:p w14:paraId="5954EF0F" w14:textId="670F60FA" w:rsidR="00C93594" w:rsidRDefault="00724B63" w:rsidP="00804234">
      <w:pPr>
        <w:pStyle w:val="ListParagraph"/>
        <w:numPr>
          <w:ilvl w:val="1"/>
          <w:numId w:val="3"/>
        </w:numPr>
        <w:tabs>
          <w:tab w:val="left" w:pos="567"/>
        </w:tabs>
        <w:spacing w:before="1"/>
        <w:ind w:left="142" w:firstLine="0"/>
      </w:pPr>
      <w:r>
        <w:t>T</w:t>
      </w:r>
      <w:r w:rsidR="00C93594">
        <w:t xml:space="preserve">he REB Chair will present the Request of Reconsideration at the next </w:t>
      </w:r>
      <w:r>
        <w:t>scheduled</w:t>
      </w:r>
      <w:r w:rsidR="00C93594">
        <w:t xml:space="preserve"> REB meeting.</w:t>
      </w:r>
    </w:p>
    <w:p w14:paraId="6455FFA8" w14:textId="77777777" w:rsidR="00C93594" w:rsidRDefault="00C93594" w:rsidP="00804234">
      <w:pPr>
        <w:pStyle w:val="ListParagraph"/>
      </w:pPr>
    </w:p>
    <w:p w14:paraId="7E00FC1C" w14:textId="7F306790" w:rsidR="002B5470" w:rsidRDefault="00086DC6" w:rsidP="00804234">
      <w:pPr>
        <w:pStyle w:val="ListParagraph"/>
        <w:numPr>
          <w:ilvl w:val="1"/>
          <w:numId w:val="3"/>
        </w:numPr>
        <w:tabs>
          <w:tab w:val="left" w:pos="567"/>
        </w:tabs>
        <w:spacing w:before="1"/>
        <w:ind w:left="142" w:hanging="4"/>
      </w:pPr>
      <w:r>
        <w:t xml:space="preserve">The REB </w:t>
      </w:r>
      <w:r w:rsidR="00724B63">
        <w:t>will review the request and</w:t>
      </w:r>
      <w:r>
        <w:t xml:space="preserve"> vote to approve, reject or request modifications to the research proposal in their reconsideration decision. </w:t>
      </w:r>
    </w:p>
    <w:p w14:paraId="0191E533" w14:textId="2CB8D61C" w:rsidR="00086DC6" w:rsidRDefault="00086DC6">
      <w:pPr>
        <w:spacing w:line="259" w:lineRule="auto"/>
        <w:jc w:val="both"/>
      </w:pPr>
    </w:p>
    <w:p w14:paraId="39445304" w14:textId="77777777" w:rsidR="00724B63" w:rsidRDefault="00086DC6" w:rsidP="00706FE6">
      <w:pPr>
        <w:pStyle w:val="Heading1"/>
        <w:numPr>
          <w:ilvl w:val="0"/>
          <w:numId w:val="9"/>
        </w:numPr>
        <w:tabs>
          <w:tab w:val="left" w:pos="466"/>
        </w:tabs>
        <w:spacing w:before="154"/>
        <w:ind w:left="0" w:firstLine="142"/>
      </w:pPr>
      <w:r>
        <w:t>NOTICE OF APPEAL</w:t>
      </w:r>
    </w:p>
    <w:p w14:paraId="67DA0013" w14:textId="2FB7C48E" w:rsidR="00086DC6" w:rsidRPr="00804234" w:rsidRDefault="00802BBE" w:rsidP="00804234">
      <w:pPr>
        <w:pStyle w:val="Heading1"/>
        <w:tabs>
          <w:tab w:val="left" w:pos="466"/>
        </w:tabs>
        <w:spacing w:before="154"/>
        <w:ind w:left="187" w:firstLine="0"/>
        <w:rPr>
          <w:b w:val="0"/>
        </w:rPr>
      </w:pPr>
      <w:r>
        <w:rPr>
          <w:b w:val="0"/>
        </w:rPr>
        <w:t>Investigator</w:t>
      </w:r>
      <w:r w:rsidR="00496CD9">
        <w:rPr>
          <w:b w:val="0"/>
        </w:rPr>
        <w:t xml:space="preserve">s and the REB must have fully </w:t>
      </w:r>
      <w:r w:rsidR="00296E5B">
        <w:rPr>
          <w:b w:val="0"/>
        </w:rPr>
        <w:t>exhausted</w:t>
      </w:r>
      <w:r>
        <w:rPr>
          <w:b w:val="0"/>
        </w:rPr>
        <w:t xml:space="preserve"> </w:t>
      </w:r>
      <w:r w:rsidR="00496CD9">
        <w:rPr>
          <w:b w:val="0"/>
        </w:rPr>
        <w:t>the reconsideration process and the REB must have issued a final decision before a</w:t>
      </w:r>
      <w:r>
        <w:rPr>
          <w:b w:val="0"/>
        </w:rPr>
        <w:t>n</w:t>
      </w:r>
      <w:r w:rsidR="00496CD9">
        <w:rPr>
          <w:b w:val="0"/>
        </w:rPr>
        <w:t xml:space="preserve"> </w:t>
      </w:r>
      <w:r>
        <w:rPr>
          <w:b w:val="0"/>
        </w:rPr>
        <w:t>investigator</w:t>
      </w:r>
      <w:r w:rsidR="00496CD9">
        <w:rPr>
          <w:b w:val="0"/>
        </w:rPr>
        <w:t xml:space="preserve"> initiates an appeal.  The appeal process is not a forum to merely seek a second opinion.</w:t>
      </w:r>
    </w:p>
    <w:p w14:paraId="09D59A04" w14:textId="77777777" w:rsidR="002B5470" w:rsidRPr="00804234" w:rsidRDefault="002B5470">
      <w:pPr>
        <w:pStyle w:val="BodyText"/>
        <w:spacing w:before="1"/>
        <w:ind w:left="0"/>
      </w:pPr>
    </w:p>
    <w:p w14:paraId="7EE50397" w14:textId="612047F4" w:rsidR="00086DC6" w:rsidRPr="00086DC6" w:rsidRDefault="00802BBE" w:rsidP="00804234">
      <w:pPr>
        <w:pStyle w:val="ListParagraph"/>
        <w:numPr>
          <w:ilvl w:val="1"/>
          <w:numId w:val="9"/>
        </w:numPr>
        <w:tabs>
          <w:tab w:val="left" w:pos="515"/>
        </w:tabs>
        <w:spacing w:before="56" w:line="261" w:lineRule="auto"/>
        <w:ind w:left="140" w:right="1370" w:firstLine="0"/>
      </w:pPr>
      <w:r>
        <w:t>Investigator</w:t>
      </w:r>
      <w:r w:rsidR="00496CD9">
        <w:t>s</w:t>
      </w:r>
      <w:r w:rsidR="00496CD9" w:rsidRPr="00086DC6">
        <w:t xml:space="preserve"> must submit </w:t>
      </w:r>
      <w:r w:rsidR="00496CD9">
        <w:t>a</w:t>
      </w:r>
      <w:r w:rsidR="00496CD9" w:rsidRPr="00086DC6">
        <w:t xml:space="preserve"> written Notice of Appeal within </w:t>
      </w:r>
      <w:r w:rsidR="00496CD9">
        <w:t>thirty (</w:t>
      </w:r>
      <w:r w:rsidR="00496CD9" w:rsidRPr="00086DC6">
        <w:t>30</w:t>
      </w:r>
      <w:r w:rsidR="00496CD9">
        <w:t>)</w:t>
      </w:r>
      <w:r w:rsidR="00496CD9" w:rsidRPr="00086DC6">
        <w:t xml:space="preserve"> calendar days of the REB’s final written decision.</w:t>
      </w:r>
    </w:p>
    <w:p w14:paraId="4A42A3FC" w14:textId="77777777" w:rsidR="00086DC6" w:rsidRPr="00086DC6" w:rsidRDefault="00086DC6" w:rsidP="00804234">
      <w:pPr>
        <w:pStyle w:val="ListParagraph"/>
        <w:tabs>
          <w:tab w:val="left" w:pos="515"/>
        </w:tabs>
        <w:spacing w:before="56" w:line="261" w:lineRule="auto"/>
        <w:ind w:left="140" w:right="1370"/>
      </w:pPr>
    </w:p>
    <w:p w14:paraId="2B43A5A1" w14:textId="18AADBFC" w:rsidR="00086DC6" w:rsidRDefault="00496CD9" w:rsidP="00804234">
      <w:pPr>
        <w:pStyle w:val="ListParagraph"/>
        <w:numPr>
          <w:ilvl w:val="1"/>
          <w:numId w:val="9"/>
        </w:numPr>
        <w:tabs>
          <w:tab w:val="left" w:pos="515"/>
        </w:tabs>
        <w:spacing w:before="56" w:line="261" w:lineRule="auto"/>
        <w:ind w:left="140" w:right="1370" w:firstLine="0"/>
      </w:pPr>
      <w:r>
        <w:t xml:space="preserve">The appeal must be made in writing and must clearly state the grounds upon which the appeal is filed.  </w:t>
      </w:r>
      <w:r w:rsidR="00086DC6" w:rsidRPr="00086DC6">
        <w:t>An appeal must b</w:t>
      </w:r>
      <w:r w:rsidR="00661266">
        <w:t>e based on procedural grounds (</w:t>
      </w:r>
      <w:proofErr w:type="gramStart"/>
      <w:r w:rsidR="00661266">
        <w:t>i.e.</w:t>
      </w:r>
      <w:proofErr w:type="gramEnd"/>
      <w:r w:rsidR="00086DC6" w:rsidRPr="00086DC6">
        <w:t xml:space="preserve"> that the review or reconsideration process did not comply with the REB’s terms of reference, written procedures or policies) or substantive grounds (e.g., noncompliance with a specific article of the TCPS2 or a relevant regulation or guideline).</w:t>
      </w:r>
    </w:p>
    <w:p w14:paraId="4BC940D1" w14:textId="77777777" w:rsidR="00086DC6" w:rsidRDefault="00086DC6" w:rsidP="00804234">
      <w:pPr>
        <w:pStyle w:val="ListParagraph"/>
        <w:tabs>
          <w:tab w:val="left" w:pos="515"/>
        </w:tabs>
        <w:spacing w:before="56" w:line="261" w:lineRule="auto"/>
        <w:ind w:left="140" w:right="1370"/>
      </w:pPr>
    </w:p>
    <w:p w14:paraId="5D35D9A5" w14:textId="2E753ACD" w:rsidR="00086DC6" w:rsidRPr="00804234" w:rsidRDefault="00086DC6" w:rsidP="00804234">
      <w:pPr>
        <w:pStyle w:val="ListParagraph"/>
        <w:numPr>
          <w:ilvl w:val="1"/>
          <w:numId w:val="9"/>
        </w:numPr>
        <w:tabs>
          <w:tab w:val="left" w:pos="515"/>
        </w:tabs>
        <w:spacing w:before="56" w:line="261" w:lineRule="auto"/>
        <w:ind w:left="140" w:right="1370" w:firstLine="0"/>
      </w:pPr>
      <w:r w:rsidRPr="00804234">
        <w:t>The written Notice of Appeal should be accompanied by all supporting documentation including</w:t>
      </w:r>
      <w:r w:rsidR="00496CD9">
        <w:t xml:space="preserve">: </w:t>
      </w:r>
    </w:p>
    <w:p w14:paraId="75EB65B5" w14:textId="1837E17C" w:rsidR="00086DC6" w:rsidRPr="00804234" w:rsidRDefault="00086DC6" w:rsidP="00804234">
      <w:pPr>
        <w:pStyle w:val="BodyText"/>
        <w:numPr>
          <w:ilvl w:val="0"/>
          <w:numId w:val="11"/>
        </w:numPr>
        <w:spacing w:before="7"/>
      </w:pPr>
      <w:r w:rsidRPr="00804234">
        <w:t>The original ethics application,</w:t>
      </w:r>
    </w:p>
    <w:p w14:paraId="62A9B7A1" w14:textId="473BB33E" w:rsidR="00086DC6" w:rsidRPr="00804234" w:rsidRDefault="00086DC6" w:rsidP="00804234">
      <w:pPr>
        <w:pStyle w:val="BodyText"/>
        <w:numPr>
          <w:ilvl w:val="0"/>
          <w:numId w:val="11"/>
        </w:numPr>
        <w:spacing w:before="7"/>
      </w:pPr>
      <w:r w:rsidRPr="00804234">
        <w:t>The original REB decision,</w:t>
      </w:r>
    </w:p>
    <w:p w14:paraId="23F68477" w14:textId="37941852" w:rsidR="00086DC6" w:rsidRPr="00804234" w:rsidRDefault="00086DC6" w:rsidP="00804234">
      <w:pPr>
        <w:pStyle w:val="BodyText"/>
        <w:numPr>
          <w:ilvl w:val="0"/>
          <w:numId w:val="11"/>
        </w:numPr>
        <w:spacing w:before="7"/>
      </w:pPr>
      <w:r w:rsidRPr="00804234">
        <w:t>All subsequent written communic</w:t>
      </w:r>
      <w:r w:rsidR="00802BBE">
        <w:t>ations between the REB and the investigator</w:t>
      </w:r>
      <w:r w:rsidRPr="00804234">
        <w:t>,</w:t>
      </w:r>
    </w:p>
    <w:p w14:paraId="43448F10" w14:textId="583B707A" w:rsidR="00706FE6" w:rsidRDefault="00086DC6" w:rsidP="00804234">
      <w:pPr>
        <w:pStyle w:val="BodyText"/>
        <w:numPr>
          <w:ilvl w:val="0"/>
          <w:numId w:val="11"/>
        </w:numPr>
        <w:spacing w:before="7"/>
      </w:pPr>
      <w:r w:rsidRPr="00804234">
        <w:t>The final reconsideration decision;</w:t>
      </w:r>
      <w:r w:rsidR="00706FE6">
        <w:br w:type="page"/>
      </w:r>
    </w:p>
    <w:p w14:paraId="38313DBE" w14:textId="78A72C0A" w:rsidR="00086DC6" w:rsidRPr="00804234" w:rsidRDefault="00086DC6" w:rsidP="00706FE6">
      <w:pPr>
        <w:pStyle w:val="BodyText"/>
        <w:numPr>
          <w:ilvl w:val="0"/>
          <w:numId w:val="11"/>
        </w:numPr>
        <w:spacing w:before="7"/>
      </w:pPr>
      <w:r w:rsidRPr="00804234">
        <w:lastRenderedPageBreak/>
        <w:t xml:space="preserve">Written documentation of the evidentiary basis and </w:t>
      </w:r>
      <w:r w:rsidR="00496CD9">
        <w:t>rationale</w:t>
      </w:r>
      <w:r w:rsidRPr="00804234">
        <w:t xml:space="preserve"> for the appeal including relevant </w:t>
      </w:r>
      <w:r w:rsidR="00706FE6">
        <w:br/>
      </w:r>
      <w:r w:rsidRPr="00804234">
        <w:t xml:space="preserve">references or copies of pertinent guidelines, internal and external policies, and legislation; and </w:t>
      </w:r>
    </w:p>
    <w:p w14:paraId="541A6F33" w14:textId="00E8940A" w:rsidR="00086DC6" w:rsidRDefault="00086DC6" w:rsidP="00804234">
      <w:pPr>
        <w:pStyle w:val="BodyText"/>
        <w:numPr>
          <w:ilvl w:val="0"/>
          <w:numId w:val="11"/>
        </w:numPr>
        <w:spacing w:before="7"/>
      </w:pPr>
      <w:r w:rsidRPr="00804234">
        <w:t>Any other relevant documents and records.</w:t>
      </w:r>
    </w:p>
    <w:p w14:paraId="758401BF" w14:textId="312C2A10" w:rsidR="00086DC6" w:rsidRDefault="00086DC6">
      <w:pPr>
        <w:pStyle w:val="BodyText"/>
        <w:spacing w:before="7"/>
      </w:pPr>
    </w:p>
    <w:p w14:paraId="5F999C71" w14:textId="77777777" w:rsidR="00086DC6" w:rsidRPr="005A1859" w:rsidRDefault="00086DC6" w:rsidP="00086DC6">
      <w:pPr>
        <w:pStyle w:val="BodyText"/>
        <w:spacing w:before="1"/>
        <w:ind w:left="0"/>
      </w:pPr>
    </w:p>
    <w:p w14:paraId="1528D4D1" w14:textId="4CDA62B9" w:rsidR="00086DC6" w:rsidRDefault="00086DC6" w:rsidP="00804234">
      <w:pPr>
        <w:pStyle w:val="ListParagraph"/>
        <w:numPr>
          <w:ilvl w:val="1"/>
          <w:numId w:val="9"/>
        </w:numPr>
        <w:tabs>
          <w:tab w:val="left" w:pos="515"/>
        </w:tabs>
        <w:spacing w:before="56" w:line="261" w:lineRule="auto"/>
        <w:ind w:left="140" w:right="1370" w:firstLine="0"/>
      </w:pPr>
      <w:r w:rsidRPr="00804234">
        <w:t>The</w:t>
      </w:r>
      <w:r w:rsidR="00496CD9">
        <w:t xml:space="preserve"> appeal documentation package will be reviewed by the </w:t>
      </w:r>
      <w:r w:rsidRPr="00804234">
        <w:t>Chair of the Quality Committee</w:t>
      </w:r>
      <w:r w:rsidR="00496CD9">
        <w:t xml:space="preserve"> (or delegate) upon receipt.</w:t>
      </w:r>
      <w:r w:rsidRPr="00804234">
        <w:t xml:space="preserve"> </w:t>
      </w:r>
      <w:r w:rsidR="00496CD9">
        <w:t xml:space="preserve">Incomplete appeals packages will be returned to the </w:t>
      </w:r>
      <w:r w:rsidR="00802BBE">
        <w:t>investigator</w:t>
      </w:r>
      <w:r w:rsidR="00496CD9">
        <w:t xml:space="preserve"> </w:t>
      </w:r>
      <w:r w:rsidR="00867B18">
        <w:t xml:space="preserve">and the </w:t>
      </w:r>
      <w:r w:rsidR="00802BBE">
        <w:t>investigator</w:t>
      </w:r>
      <w:r w:rsidR="00867B18">
        <w:t xml:space="preserve"> will be required to submit a complete package within </w:t>
      </w:r>
      <w:r w:rsidR="00A701EF">
        <w:t>fifteen (</w:t>
      </w:r>
      <w:r w:rsidR="00867B18">
        <w:t>15</w:t>
      </w:r>
      <w:r w:rsidR="00A701EF">
        <w:t>)</w:t>
      </w:r>
      <w:r w:rsidR="00867B18">
        <w:t xml:space="preserve"> days or the appeal will be dismissed.</w:t>
      </w:r>
    </w:p>
    <w:p w14:paraId="0D7EBCF1" w14:textId="77777777" w:rsidR="00086DC6" w:rsidRDefault="00086DC6" w:rsidP="00804234">
      <w:pPr>
        <w:pStyle w:val="ListParagraph"/>
        <w:tabs>
          <w:tab w:val="left" w:pos="515"/>
        </w:tabs>
        <w:spacing w:before="56" w:line="261" w:lineRule="auto"/>
        <w:ind w:left="140" w:right="1370"/>
      </w:pPr>
    </w:p>
    <w:p w14:paraId="5A790EDF" w14:textId="7BE79302" w:rsidR="00086DC6" w:rsidRDefault="00867B18" w:rsidP="00804234">
      <w:pPr>
        <w:pStyle w:val="ListParagraph"/>
        <w:numPr>
          <w:ilvl w:val="1"/>
          <w:numId w:val="9"/>
        </w:numPr>
        <w:tabs>
          <w:tab w:val="left" w:pos="515"/>
        </w:tabs>
        <w:spacing w:before="56" w:line="261" w:lineRule="auto"/>
        <w:ind w:left="140" w:right="1370" w:firstLine="0"/>
      </w:pPr>
      <w:r>
        <w:t xml:space="preserve">The Chair of the Quality Committee will notify the </w:t>
      </w:r>
      <w:r w:rsidR="00802BBE">
        <w:t>investigator</w:t>
      </w:r>
      <w:r>
        <w:t xml:space="preserve"> and the Chair of the REB once all documents are received.</w:t>
      </w:r>
    </w:p>
    <w:p w14:paraId="42D82A63" w14:textId="77777777" w:rsidR="00086DC6" w:rsidRDefault="00086DC6" w:rsidP="00804234">
      <w:pPr>
        <w:pStyle w:val="ListParagraph"/>
      </w:pPr>
    </w:p>
    <w:p w14:paraId="713C5CA5" w14:textId="541CB500" w:rsidR="00086DC6" w:rsidRDefault="00802BBE" w:rsidP="00804234">
      <w:pPr>
        <w:pStyle w:val="ListParagraph"/>
        <w:numPr>
          <w:ilvl w:val="1"/>
          <w:numId w:val="9"/>
        </w:numPr>
        <w:tabs>
          <w:tab w:val="left" w:pos="515"/>
        </w:tabs>
        <w:spacing w:before="56" w:line="261" w:lineRule="auto"/>
        <w:ind w:left="140" w:right="1370" w:firstLine="0"/>
      </w:pPr>
      <w:r>
        <w:t>T</w:t>
      </w:r>
      <w:r w:rsidR="00086DC6" w:rsidRPr="00804234">
        <w:t>he ROHCG Board of Trustees, through the Quality Committee</w:t>
      </w:r>
      <w:r w:rsidR="00867B18">
        <w:t>,</w:t>
      </w:r>
      <w:r w:rsidR="00086DC6" w:rsidRPr="00804234">
        <w:t xml:space="preserve"> if appropriate, will appoint a minimum of three (3) members to the Research Ethics Appeal Committee (“Appeal Committee”) for the purpose of hearing the appeal.</w:t>
      </w:r>
    </w:p>
    <w:p w14:paraId="67431020" w14:textId="77777777" w:rsidR="00086DC6" w:rsidRDefault="00086DC6" w:rsidP="00804234">
      <w:pPr>
        <w:pStyle w:val="ListParagraph"/>
      </w:pPr>
    </w:p>
    <w:p w14:paraId="33BB2BC4" w14:textId="5B5CDFCC" w:rsidR="00086DC6" w:rsidRDefault="00086DC6" w:rsidP="00804234">
      <w:pPr>
        <w:pStyle w:val="ListParagraph"/>
        <w:numPr>
          <w:ilvl w:val="1"/>
          <w:numId w:val="9"/>
        </w:numPr>
        <w:tabs>
          <w:tab w:val="left" w:pos="515"/>
        </w:tabs>
        <w:spacing w:before="56" w:line="261" w:lineRule="auto"/>
        <w:ind w:left="140" w:right="1370" w:firstLine="0"/>
      </w:pPr>
      <w:r w:rsidRPr="00804234">
        <w:t xml:space="preserve">The composition of the Appeal Committee must reflect the range of expertise and knowledge appropriate to the decision that is being appealed.  </w:t>
      </w:r>
    </w:p>
    <w:p w14:paraId="3B302F8F" w14:textId="77777777" w:rsidR="00086DC6" w:rsidRDefault="00086DC6" w:rsidP="00804234">
      <w:pPr>
        <w:pStyle w:val="ListParagraph"/>
      </w:pPr>
    </w:p>
    <w:p w14:paraId="2E8AC191" w14:textId="47353B16" w:rsidR="00086DC6" w:rsidRDefault="00867B18" w:rsidP="00804234">
      <w:pPr>
        <w:pStyle w:val="ListParagraph"/>
        <w:numPr>
          <w:ilvl w:val="1"/>
          <w:numId w:val="9"/>
        </w:numPr>
        <w:tabs>
          <w:tab w:val="left" w:pos="515"/>
        </w:tabs>
        <w:spacing w:before="56" w:line="261" w:lineRule="auto"/>
        <w:ind w:left="140" w:right="1370" w:firstLine="0"/>
      </w:pPr>
      <w:r>
        <w:t>All m</w:t>
      </w:r>
      <w:r w:rsidR="00086DC6" w:rsidRPr="00804234">
        <w:t xml:space="preserve">embers of the Appeal Committee must be free of conflicts of interest in relation to the study under </w:t>
      </w:r>
      <w:r>
        <w:t>review</w:t>
      </w:r>
      <w:r w:rsidR="00086DC6" w:rsidRPr="00804234">
        <w:t>.</w:t>
      </w:r>
      <w:r>
        <w:t xml:space="preserve"> </w:t>
      </w:r>
      <w:r w:rsidR="00086DC6" w:rsidRPr="00804234">
        <w:t xml:space="preserve"> </w:t>
      </w:r>
      <w:r>
        <w:t xml:space="preserve">Members of the REB, involved in the initial review of the proposed study may not participate </w:t>
      </w:r>
      <w:r w:rsidR="003B116A">
        <w:t>on</w:t>
      </w:r>
      <w:r>
        <w:t xml:space="preserve"> the appeal committee.</w:t>
      </w:r>
    </w:p>
    <w:p w14:paraId="639AB964" w14:textId="54A133E7" w:rsidR="00086DC6" w:rsidRDefault="00086DC6" w:rsidP="00804234">
      <w:pPr>
        <w:pStyle w:val="ListParagraph"/>
      </w:pPr>
    </w:p>
    <w:p w14:paraId="79002EA4" w14:textId="77777777" w:rsidR="00661266" w:rsidRPr="005A1859" w:rsidRDefault="00661266" w:rsidP="00661266">
      <w:pPr>
        <w:pStyle w:val="BodyText"/>
        <w:spacing w:before="7"/>
      </w:pPr>
      <w:r w:rsidRPr="005A1859">
        <w:t>Appeal Procedure</w:t>
      </w:r>
    </w:p>
    <w:p w14:paraId="475109C5" w14:textId="77777777" w:rsidR="00661266" w:rsidRDefault="00661266" w:rsidP="00804234">
      <w:pPr>
        <w:pStyle w:val="ListParagraph"/>
      </w:pPr>
    </w:p>
    <w:p w14:paraId="0F093551" w14:textId="15625EAC" w:rsidR="00086DC6" w:rsidRDefault="00802BBE" w:rsidP="00804234">
      <w:pPr>
        <w:pStyle w:val="ListParagraph"/>
        <w:numPr>
          <w:ilvl w:val="1"/>
          <w:numId w:val="9"/>
        </w:numPr>
        <w:tabs>
          <w:tab w:val="left" w:pos="515"/>
        </w:tabs>
        <w:spacing w:before="56" w:line="261" w:lineRule="auto"/>
        <w:ind w:left="140" w:right="1370" w:firstLine="0"/>
      </w:pPr>
      <w:r>
        <w:t>The onus is on the investigator</w:t>
      </w:r>
      <w:r w:rsidR="00086DC6" w:rsidRPr="00804234">
        <w:t xml:space="preserve"> </w:t>
      </w:r>
      <w:r w:rsidR="003B116A">
        <w:t>making the appeal</w:t>
      </w:r>
      <w:r w:rsidR="00086DC6" w:rsidRPr="00804234">
        <w:t xml:space="preserve"> to justify the grounds </w:t>
      </w:r>
      <w:r w:rsidR="003B116A">
        <w:t>on which the appeal is requested and to indicate any breaches to the research ethics review process or any elements of the REB decision that are not supported by the TCPS</w:t>
      </w:r>
      <w:r>
        <w:t>2</w:t>
      </w:r>
      <w:r w:rsidR="003B116A">
        <w:t xml:space="preserve"> or the IMHR policy on the ethical conduct of research involving human participants.</w:t>
      </w:r>
    </w:p>
    <w:p w14:paraId="63DFE4F0" w14:textId="77777777" w:rsidR="00661266" w:rsidRDefault="00661266" w:rsidP="00804234">
      <w:pPr>
        <w:pStyle w:val="ListParagraph"/>
        <w:tabs>
          <w:tab w:val="left" w:pos="515"/>
        </w:tabs>
        <w:spacing w:before="56" w:line="261" w:lineRule="auto"/>
        <w:ind w:left="140" w:right="1370"/>
      </w:pPr>
    </w:p>
    <w:p w14:paraId="6F4F0EFC" w14:textId="7E99BA33" w:rsidR="00086DC6" w:rsidRDefault="00086DC6" w:rsidP="00804234">
      <w:pPr>
        <w:pStyle w:val="ListParagraph"/>
        <w:numPr>
          <w:ilvl w:val="1"/>
          <w:numId w:val="9"/>
        </w:numPr>
        <w:tabs>
          <w:tab w:val="left" w:pos="515"/>
        </w:tabs>
        <w:spacing w:before="56" w:line="261" w:lineRule="auto"/>
        <w:ind w:left="140" w:right="1370" w:firstLine="0"/>
      </w:pPr>
      <w:r w:rsidRPr="00804234">
        <w:t>The Appeal Committee shall have the authority to approve, reject or request modifications to the research proposal. Its decision shall be final.</w:t>
      </w:r>
    </w:p>
    <w:p w14:paraId="749A4547" w14:textId="77777777" w:rsidR="00661266" w:rsidRDefault="00661266" w:rsidP="00804234">
      <w:pPr>
        <w:pStyle w:val="ListParagraph"/>
      </w:pPr>
    </w:p>
    <w:p w14:paraId="46FEB9FB" w14:textId="1A2430B6" w:rsidR="00086DC6" w:rsidRDefault="00086DC6" w:rsidP="00804234">
      <w:pPr>
        <w:pStyle w:val="ListParagraph"/>
        <w:numPr>
          <w:ilvl w:val="1"/>
          <w:numId w:val="9"/>
        </w:numPr>
        <w:tabs>
          <w:tab w:val="left" w:pos="515"/>
        </w:tabs>
        <w:spacing w:before="56" w:line="261" w:lineRule="auto"/>
        <w:ind w:left="140" w:right="1370" w:firstLine="0"/>
      </w:pPr>
      <w:r w:rsidRPr="00804234">
        <w:t>The REB Coordinator will assemble and distribute the Notice of Appeal and supporting documentation (including the REB minutes pertaining to the submission) to the Appeal Committee for review, with a copy to the Chair of the REB whose decis</w:t>
      </w:r>
      <w:r w:rsidR="00802BBE">
        <w:t xml:space="preserve">ion is under review and to the </w:t>
      </w:r>
      <w:r w:rsidR="00FF4650">
        <w:t>i</w:t>
      </w:r>
      <w:r w:rsidR="00802BBE">
        <w:t>nvestigator</w:t>
      </w:r>
      <w:r w:rsidRPr="00804234">
        <w:t>.</w:t>
      </w:r>
    </w:p>
    <w:p w14:paraId="2CFE5E0C" w14:textId="77777777" w:rsidR="00661266" w:rsidRDefault="00661266" w:rsidP="00804234">
      <w:pPr>
        <w:pStyle w:val="ListParagraph"/>
      </w:pPr>
    </w:p>
    <w:p w14:paraId="6E6A4DB4" w14:textId="41EA48A6" w:rsidR="00802BBE" w:rsidRDefault="00AB0991" w:rsidP="00706FE6">
      <w:pPr>
        <w:pStyle w:val="ListParagraph"/>
        <w:numPr>
          <w:ilvl w:val="1"/>
          <w:numId w:val="9"/>
        </w:numPr>
        <w:tabs>
          <w:tab w:val="left" w:pos="515"/>
        </w:tabs>
        <w:spacing w:before="56" w:line="261" w:lineRule="auto"/>
        <w:ind w:left="142" w:right="1015" w:hanging="2"/>
      </w:pPr>
      <w:r>
        <w:t xml:space="preserve">The appeal committee will have </w:t>
      </w:r>
      <w:r w:rsidR="0079022F">
        <w:t>thirty (</w:t>
      </w:r>
      <w:r>
        <w:t>30</w:t>
      </w:r>
      <w:r w:rsidR="0079022F">
        <w:t>)</w:t>
      </w:r>
      <w:r>
        <w:t xml:space="preserve"> days to review the file and a meeting will be scheduled on or before the final working day.  The </w:t>
      </w:r>
      <w:r w:rsidR="00FF4650">
        <w:t>i</w:t>
      </w:r>
      <w:r w:rsidR="00802BBE">
        <w:t>nvestigator</w:t>
      </w:r>
      <w:r>
        <w:t xml:space="preserve"> and the REB Chair (or delegate) may appear before the Appeal Committee.  Each party may be assisted by an advisor who may be present during the meeting.</w:t>
      </w:r>
      <w:r w:rsidR="00706FE6">
        <w:t xml:space="preserve"> </w:t>
      </w:r>
      <w:r>
        <w:t>None of these parties will be present during the deliberation and decision-making by the Appeal</w:t>
      </w:r>
      <w:r w:rsidR="00706FE6">
        <w:t xml:space="preserve"> </w:t>
      </w:r>
      <w:r>
        <w:t>Committee.</w:t>
      </w:r>
      <w:r w:rsidRPr="00AB0991" w:rsidDel="00AB0991">
        <w:t xml:space="preserve"> </w:t>
      </w:r>
    </w:p>
    <w:p w14:paraId="7F39E57C" w14:textId="77777777" w:rsidR="00661266" w:rsidRDefault="00661266" w:rsidP="00804234">
      <w:pPr>
        <w:pStyle w:val="ListParagraph"/>
        <w:tabs>
          <w:tab w:val="left" w:pos="515"/>
        </w:tabs>
        <w:spacing w:before="56" w:line="261" w:lineRule="auto"/>
        <w:ind w:left="142" w:right="1370"/>
      </w:pPr>
    </w:p>
    <w:p w14:paraId="4DC48126" w14:textId="5712084F" w:rsidR="003E486F" w:rsidRDefault="00AB0991" w:rsidP="00AB0991">
      <w:pPr>
        <w:pStyle w:val="ListParagraph"/>
        <w:numPr>
          <w:ilvl w:val="1"/>
          <w:numId w:val="9"/>
        </w:numPr>
        <w:tabs>
          <w:tab w:val="left" w:pos="515"/>
        </w:tabs>
        <w:spacing w:before="56" w:line="261" w:lineRule="auto"/>
        <w:ind w:left="140" w:right="1370" w:firstLine="0"/>
      </w:pPr>
      <w:r>
        <w:t xml:space="preserve">During the meeting, the </w:t>
      </w:r>
      <w:r w:rsidR="00802BBE">
        <w:t>Investigator</w:t>
      </w:r>
      <w:r>
        <w:t xml:space="preserve"> will present eviden</w:t>
      </w:r>
      <w:r w:rsidR="002E4CF4">
        <w:t>ce</w:t>
      </w:r>
      <w:r>
        <w:t xml:space="preserve"> to support the grounds for the appeal (article 8.3).  The Chair of the REB will have an opportunity to respond.  The Appeal Committee has the right to question both parties. Each party will be provided a single opportunity to summarize their respective statements, with the </w:t>
      </w:r>
      <w:r w:rsidR="00FF4650">
        <w:t>i</w:t>
      </w:r>
      <w:r w:rsidR="00802BBE">
        <w:t xml:space="preserve">nvestigator </w:t>
      </w:r>
      <w:r>
        <w:t>speaking last.</w:t>
      </w:r>
      <w:r w:rsidRPr="00AB0991" w:rsidDel="00AB0991">
        <w:t xml:space="preserve"> </w:t>
      </w:r>
      <w:r>
        <w:t>Both parties will be excused from the meeting, at which time deliberations will occur.</w:t>
      </w:r>
      <w:r w:rsidR="00802BBE">
        <w:t xml:space="preserve"> </w:t>
      </w:r>
      <w:r w:rsidRPr="00FC7CE8">
        <w:t xml:space="preserve">The Chair of the Appeal Committee will </w:t>
      </w:r>
      <w:r w:rsidR="003E486F">
        <w:t xml:space="preserve">provide a written decision of the Appeal Committee related to the grounds of the appeal with copies to the </w:t>
      </w:r>
      <w:r w:rsidR="00FF4650">
        <w:t>i</w:t>
      </w:r>
      <w:r w:rsidR="00802BBE">
        <w:t>nvestigator</w:t>
      </w:r>
      <w:r w:rsidR="003E486F">
        <w:t xml:space="preserve"> and the REB within </w:t>
      </w:r>
      <w:r w:rsidR="00776FDF">
        <w:t>seven (</w:t>
      </w:r>
      <w:r w:rsidR="003E486F">
        <w:t>7</w:t>
      </w:r>
      <w:r w:rsidR="00776FDF">
        <w:t>)</w:t>
      </w:r>
      <w:r w:rsidR="003E486F">
        <w:t xml:space="preserve"> working days after the meeting at which the decision was reached.  The </w:t>
      </w:r>
      <w:r w:rsidR="00802BBE">
        <w:t>A</w:t>
      </w:r>
      <w:r w:rsidR="003E486F">
        <w:t xml:space="preserve">ppeal </w:t>
      </w:r>
      <w:r w:rsidR="00802BBE">
        <w:t>C</w:t>
      </w:r>
      <w:r w:rsidR="003E486F">
        <w:t>ommittee will find one of the following:</w:t>
      </w:r>
    </w:p>
    <w:p w14:paraId="6D41ACB2" w14:textId="6025C19C" w:rsidR="003E486F" w:rsidRDefault="003E486F" w:rsidP="00804234">
      <w:pPr>
        <w:pStyle w:val="ListParagraph"/>
        <w:numPr>
          <w:ilvl w:val="0"/>
          <w:numId w:val="14"/>
        </w:numPr>
        <w:tabs>
          <w:tab w:val="left" w:pos="515"/>
        </w:tabs>
        <w:spacing w:before="56" w:line="261" w:lineRule="auto"/>
        <w:ind w:right="1370"/>
      </w:pPr>
      <w:r>
        <w:t>Approved as submitted, the decision of the REB is overturned</w:t>
      </w:r>
    </w:p>
    <w:p w14:paraId="7FF0402A" w14:textId="5FBF97C7" w:rsidR="003E486F" w:rsidRDefault="003E486F" w:rsidP="00804234">
      <w:pPr>
        <w:pStyle w:val="ListParagraph"/>
        <w:numPr>
          <w:ilvl w:val="0"/>
          <w:numId w:val="14"/>
        </w:numPr>
        <w:tabs>
          <w:tab w:val="left" w:pos="515"/>
        </w:tabs>
        <w:spacing w:before="56" w:line="261" w:lineRule="auto"/>
        <w:ind w:right="1370"/>
      </w:pPr>
      <w:r>
        <w:t>Declined as submitted, the decision of the REB is upheld</w:t>
      </w:r>
    </w:p>
    <w:p w14:paraId="542EA374" w14:textId="1A587ABE" w:rsidR="003E486F" w:rsidRDefault="003E486F" w:rsidP="00804234">
      <w:pPr>
        <w:pStyle w:val="ListParagraph"/>
        <w:numPr>
          <w:ilvl w:val="0"/>
          <w:numId w:val="14"/>
        </w:numPr>
        <w:tabs>
          <w:tab w:val="left" w:pos="515"/>
        </w:tabs>
        <w:spacing w:before="56" w:line="261" w:lineRule="auto"/>
        <w:ind w:right="1370"/>
      </w:pPr>
      <w:r>
        <w:t>Modifications are proposed and the final decision is pending. In this case</w:t>
      </w:r>
      <w:r w:rsidR="00802BBE">
        <w:t xml:space="preserve">, the </w:t>
      </w:r>
      <w:r w:rsidR="00FF4650">
        <w:t>i</w:t>
      </w:r>
      <w:r w:rsidR="00802BBE">
        <w:t>nvestigator</w:t>
      </w:r>
      <w:r>
        <w:t xml:space="preserve"> will have </w:t>
      </w:r>
      <w:r w:rsidR="00802BBE">
        <w:t>thirty (30)</w:t>
      </w:r>
      <w:r>
        <w:t xml:space="preserve"> days to make the modifications and submit updated documentation to the Appeal Committee for review.</w:t>
      </w:r>
    </w:p>
    <w:p w14:paraId="17A410B2" w14:textId="5DE99AF7" w:rsidR="00661266" w:rsidRDefault="003E486F" w:rsidP="00804234">
      <w:pPr>
        <w:tabs>
          <w:tab w:val="left" w:pos="515"/>
        </w:tabs>
        <w:spacing w:before="56" w:line="261" w:lineRule="auto"/>
        <w:ind w:right="1370"/>
      </w:pPr>
      <w:r>
        <w:t xml:space="preserve">If the </w:t>
      </w:r>
      <w:r w:rsidR="00FF4650">
        <w:t>i</w:t>
      </w:r>
      <w:r w:rsidR="00802BBE">
        <w:t>nvestigator</w:t>
      </w:r>
      <w:r>
        <w:t xml:space="preserve"> does not respond to the request for modifications within </w:t>
      </w:r>
      <w:r w:rsidR="00802BBE">
        <w:t>thirty (30)</w:t>
      </w:r>
      <w:r>
        <w:t xml:space="preserve"> days, the notice of appeal will be declined and the REB decision will be upheld.</w:t>
      </w:r>
    </w:p>
    <w:p w14:paraId="4B49130F" w14:textId="77777777" w:rsidR="00661266" w:rsidRDefault="00661266" w:rsidP="00804234">
      <w:pPr>
        <w:pStyle w:val="ListParagraph"/>
      </w:pPr>
    </w:p>
    <w:p w14:paraId="667C4EFA" w14:textId="445AB057" w:rsidR="00086DC6" w:rsidRPr="00804234" w:rsidRDefault="00086DC6" w:rsidP="00706FE6">
      <w:pPr>
        <w:pStyle w:val="ListParagraph"/>
        <w:numPr>
          <w:ilvl w:val="1"/>
          <w:numId w:val="9"/>
        </w:numPr>
        <w:tabs>
          <w:tab w:val="left" w:pos="515"/>
        </w:tabs>
        <w:spacing w:before="56" w:line="261" w:lineRule="auto"/>
        <w:ind w:left="0" w:right="1370" w:firstLine="0"/>
      </w:pPr>
      <w:r w:rsidRPr="00804234">
        <w:t>The Chair of the REB will be responsible for any implementation and follow up required through the REB.</w:t>
      </w:r>
    </w:p>
    <w:p w14:paraId="3E239CB8" w14:textId="77777777" w:rsidR="00D61461" w:rsidRDefault="00D61461" w:rsidP="00D61461">
      <w:pPr>
        <w:spacing w:line="259" w:lineRule="auto"/>
        <w:jc w:val="both"/>
      </w:pPr>
    </w:p>
    <w:p w14:paraId="02FA1753" w14:textId="254A3711" w:rsidR="00D61461" w:rsidRDefault="00D61461" w:rsidP="00706FE6">
      <w:pPr>
        <w:pStyle w:val="Heading1"/>
        <w:numPr>
          <w:ilvl w:val="0"/>
          <w:numId w:val="9"/>
        </w:numPr>
        <w:tabs>
          <w:tab w:val="left" w:pos="0"/>
        </w:tabs>
        <w:spacing w:before="154"/>
        <w:ind w:left="0" w:firstLine="0"/>
      </w:pPr>
      <w:r>
        <w:t>INTERNAL RECONSIDERATIONS AND APPEALS</w:t>
      </w:r>
    </w:p>
    <w:p w14:paraId="3772481E" w14:textId="411EC601" w:rsidR="00D61461" w:rsidRPr="00460E6A" w:rsidRDefault="00D61461" w:rsidP="00706FE6">
      <w:pPr>
        <w:pStyle w:val="Heading1"/>
        <w:tabs>
          <w:tab w:val="left" w:pos="0"/>
          <w:tab w:val="left" w:pos="142"/>
        </w:tabs>
        <w:spacing w:before="154" w:after="240"/>
        <w:ind w:left="0" w:firstLine="0"/>
      </w:pPr>
      <w:r>
        <w:rPr>
          <w:b w:val="0"/>
        </w:rPr>
        <w:t>REB members</w:t>
      </w:r>
      <w:r w:rsidRPr="00D61461">
        <w:rPr>
          <w:b w:val="0"/>
        </w:rPr>
        <w:t xml:space="preserve"> have the right to request, and the REB </w:t>
      </w:r>
      <w:r>
        <w:rPr>
          <w:b w:val="0"/>
        </w:rPr>
        <w:t xml:space="preserve">Chair </w:t>
      </w:r>
      <w:r w:rsidRPr="00D61461">
        <w:rPr>
          <w:b w:val="0"/>
        </w:rPr>
        <w:t xml:space="preserve">has an obligation to provide, reconsideration of an REB </w:t>
      </w:r>
      <w:r>
        <w:rPr>
          <w:b w:val="0"/>
        </w:rPr>
        <w:t xml:space="preserve">Chair </w:t>
      </w:r>
      <w:r w:rsidRPr="00D61461">
        <w:rPr>
          <w:b w:val="0"/>
        </w:rPr>
        <w:t>decision</w:t>
      </w:r>
      <w:r>
        <w:rPr>
          <w:b w:val="0"/>
        </w:rPr>
        <w:t xml:space="preserve"> (or acting Vice-Chair)</w:t>
      </w:r>
      <w:r w:rsidR="00512B81">
        <w:rPr>
          <w:b w:val="0"/>
        </w:rPr>
        <w:t xml:space="preserve"> made as an administrative decision. For the purposes of this process, an administrative decision is a decision made by the REB Chair (or acting Vice-Chair) without the consultation of any other REB member</w:t>
      </w:r>
      <w:r w:rsidRPr="00D61461">
        <w:rPr>
          <w:b w:val="0"/>
        </w:rPr>
        <w:t>.</w:t>
      </w:r>
      <w:r>
        <w:rPr>
          <w:b w:val="0"/>
        </w:rPr>
        <w:t xml:space="preserve"> Decisions made by REB members other than the REB Chair</w:t>
      </w:r>
      <w:r w:rsidR="00512B81">
        <w:rPr>
          <w:b w:val="0"/>
        </w:rPr>
        <w:t xml:space="preserve"> (or acting Vice-Chair), including Full Board, </w:t>
      </w:r>
      <w:r>
        <w:rPr>
          <w:b w:val="0"/>
        </w:rPr>
        <w:t xml:space="preserve">are not eligible for this process. </w:t>
      </w:r>
    </w:p>
    <w:p w14:paraId="28E09A54" w14:textId="6648AE53" w:rsidR="00D61461" w:rsidRDefault="00D61461" w:rsidP="00706FE6">
      <w:pPr>
        <w:pStyle w:val="Heading1"/>
        <w:numPr>
          <w:ilvl w:val="1"/>
          <w:numId w:val="9"/>
        </w:numPr>
        <w:tabs>
          <w:tab w:val="left" w:pos="0"/>
        </w:tabs>
        <w:spacing w:before="154" w:after="240"/>
        <w:ind w:left="0" w:firstLine="0"/>
      </w:pPr>
      <w:r w:rsidRPr="00D61461">
        <w:rPr>
          <w:b w:val="0"/>
        </w:rPr>
        <w:t>Where a study is reviewed and a decision is made by the REB Chair which an REB member believes may violate the ethical integrity upheld by the REB, the REB member has a right to request re-consideration by the REB Chair on substantive or procedural grounds by providing a written request within thirty (30) calendar days of the decision. REB member and REB Chair are expected to engage in meaningful discussions together to ensure high-quality, ethical research.</w:t>
      </w:r>
    </w:p>
    <w:p w14:paraId="0C395E7A" w14:textId="516944CB" w:rsidR="00D61461" w:rsidRPr="00512B81" w:rsidRDefault="00A36EFF" w:rsidP="00706FE6">
      <w:pPr>
        <w:pStyle w:val="Heading1"/>
        <w:numPr>
          <w:ilvl w:val="1"/>
          <w:numId w:val="9"/>
        </w:numPr>
        <w:tabs>
          <w:tab w:val="left" w:pos="0"/>
        </w:tabs>
        <w:spacing w:before="154" w:after="240"/>
        <w:ind w:left="0" w:firstLine="0"/>
      </w:pPr>
      <w:r>
        <w:rPr>
          <w:b w:val="0"/>
        </w:rPr>
        <w:t xml:space="preserve">If the REB member and </w:t>
      </w:r>
      <w:r w:rsidR="00D61461" w:rsidRPr="00706FE6">
        <w:rPr>
          <w:b w:val="0"/>
        </w:rPr>
        <w:t xml:space="preserve">REB Chair </w:t>
      </w:r>
      <w:r>
        <w:rPr>
          <w:b w:val="0"/>
        </w:rPr>
        <w:t xml:space="preserve">have fully exhausted the reconsideration process, the REB Chair </w:t>
      </w:r>
      <w:r w:rsidR="00D61461" w:rsidRPr="00706FE6">
        <w:rPr>
          <w:b w:val="0"/>
        </w:rPr>
        <w:t xml:space="preserve">will present the </w:t>
      </w:r>
      <w:r>
        <w:rPr>
          <w:b w:val="0"/>
        </w:rPr>
        <w:t>written reconsideration request</w:t>
      </w:r>
      <w:r w:rsidR="00D61461" w:rsidRPr="00706FE6">
        <w:rPr>
          <w:b w:val="0"/>
        </w:rPr>
        <w:t xml:space="preserve"> at the next scheduled REB meeting.</w:t>
      </w:r>
    </w:p>
    <w:p w14:paraId="258477F2" w14:textId="001EC6E5" w:rsidR="00706FE6" w:rsidRDefault="00D61461" w:rsidP="00706FE6">
      <w:pPr>
        <w:pStyle w:val="Heading1"/>
        <w:numPr>
          <w:ilvl w:val="1"/>
          <w:numId w:val="9"/>
        </w:numPr>
        <w:tabs>
          <w:tab w:val="left" w:pos="0"/>
        </w:tabs>
        <w:spacing w:before="154" w:after="240"/>
        <w:ind w:left="0" w:firstLine="0"/>
        <w:rPr>
          <w:b w:val="0"/>
        </w:rPr>
      </w:pPr>
      <w:r w:rsidRPr="00706FE6">
        <w:rPr>
          <w:b w:val="0"/>
        </w:rPr>
        <w:t xml:space="preserve">The REB will review the request and vote </w:t>
      </w:r>
      <w:r w:rsidR="00E0542A">
        <w:rPr>
          <w:b w:val="0"/>
        </w:rPr>
        <w:t>on whether to</w:t>
      </w:r>
      <w:r w:rsidRPr="00706FE6">
        <w:rPr>
          <w:b w:val="0"/>
        </w:rPr>
        <w:t xml:space="preserve"> </w:t>
      </w:r>
      <w:r w:rsidR="00512B81">
        <w:rPr>
          <w:b w:val="0"/>
        </w:rPr>
        <w:t>uphold</w:t>
      </w:r>
      <w:r w:rsidR="00A36EFF">
        <w:rPr>
          <w:b w:val="0"/>
        </w:rPr>
        <w:t xml:space="preserve"> the original decision by the REB Chair</w:t>
      </w:r>
      <w:r w:rsidR="00512B81">
        <w:rPr>
          <w:b w:val="0"/>
        </w:rPr>
        <w:t xml:space="preserve"> or </w:t>
      </w:r>
      <w:r w:rsidR="00E0542A">
        <w:rPr>
          <w:b w:val="0"/>
        </w:rPr>
        <w:t>to provide a different decision</w:t>
      </w:r>
      <w:r w:rsidR="00A36EFF">
        <w:rPr>
          <w:b w:val="0"/>
        </w:rPr>
        <w:t xml:space="preserve">. </w:t>
      </w:r>
      <w:r w:rsidR="00512B81">
        <w:rPr>
          <w:b w:val="0"/>
        </w:rPr>
        <w:t xml:space="preserve">The decision made by the REB will be final. </w:t>
      </w:r>
      <w:r w:rsidR="00706FE6">
        <w:rPr>
          <w:b w:val="0"/>
        </w:rPr>
        <w:br w:type="page"/>
      </w:r>
    </w:p>
    <w:p w14:paraId="5E2BA028" w14:textId="1485A7DB" w:rsidR="00D61461" w:rsidRPr="00804234" w:rsidRDefault="00D61461" w:rsidP="00706FE6">
      <w:pPr>
        <w:pStyle w:val="BodyText"/>
        <w:tabs>
          <w:tab w:val="left" w:pos="0"/>
        </w:tabs>
        <w:spacing w:before="7"/>
        <w:ind w:left="0"/>
      </w:pPr>
    </w:p>
    <w:p w14:paraId="36A8ACDC" w14:textId="5ABC450B" w:rsidR="002B5470" w:rsidRDefault="00C93594" w:rsidP="00706FE6">
      <w:pPr>
        <w:pStyle w:val="Heading1"/>
        <w:numPr>
          <w:ilvl w:val="0"/>
          <w:numId w:val="9"/>
        </w:numPr>
        <w:tabs>
          <w:tab w:val="left" w:pos="0"/>
        </w:tabs>
        <w:spacing w:before="1"/>
        <w:ind w:left="142" w:firstLine="0"/>
      </w:pPr>
      <w:r w:rsidRPr="00086DC6">
        <w:t>REB REV</w:t>
      </w:r>
      <w:r>
        <w:t>IEW DURING PUBLICLY DECLARED</w:t>
      </w:r>
      <w:r>
        <w:rPr>
          <w:spacing w:val="-6"/>
        </w:rPr>
        <w:t xml:space="preserve"> </w:t>
      </w:r>
      <w:r>
        <w:t>EMERGENCIES</w:t>
      </w:r>
    </w:p>
    <w:p w14:paraId="7FFC3CF9" w14:textId="77777777" w:rsidR="002B5470" w:rsidRDefault="002B5470" w:rsidP="00706FE6">
      <w:pPr>
        <w:pStyle w:val="BodyText"/>
        <w:tabs>
          <w:tab w:val="left" w:pos="0"/>
        </w:tabs>
        <w:spacing w:before="1"/>
        <w:ind w:left="0"/>
        <w:rPr>
          <w:b/>
          <w:sz w:val="25"/>
        </w:rPr>
      </w:pPr>
    </w:p>
    <w:p w14:paraId="0ABC207C" w14:textId="77777777" w:rsidR="002B5470" w:rsidRDefault="00C93594" w:rsidP="00706FE6">
      <w:pPr>
        <w:pStyle w:val="ListParagraph"/>
        <w:numPr>
          <w:ilvl w:val="1"/>
          <w:numId w:val="9"/>
        </w:numPr>
        <w:tabs>
          <w:tab w:val="left" w:pos="0"/>
          <w:tab w:val="left" w:pos="515"/>
        </w:tabs>
        <w:spacing w:before="1" w:line="259" w:lineRule="auto"/>
        <w:ind w:left="140" w:right="438" w:firstLine="0"/>
      </w:pPr>
      <w:r>
        <w:t>Research ethics review during publicly declared emergencies may follow modified procedures and practices, but must be particularly vigilant, enhance ethics oversight, and exercise special diligence in respecting ethical principles, standard operating procedures and the law. It is recognized that outbreaks may provide particular need for research, particular opportunity for research and particular vulnerability of research</w:t>
      </w:r>
      <w:r>
        <w:rPr>
          <w:spacing w:val="-22"/>
        </w:rPr>
        <w:t xml:space="preserve"> </w:t>
      </w:r>
      <w:r>
        <w:t>participants.</w:t>
      </w:r>
    </w:p>
    <w:p w14:paraId="6E36EA9E" w14:textId="77777777" w:rsidR="002B5470" w:rsidRDefault="002B5470" w:rsidP="00706FE6">
      <w:pPr>
        <w:pStyle w:val="BodyText"/>
        <w:tabs>
          <w:tab w:val="left" w:pos="0"/>
        </w:tabs>
        <w:spacing w:before="8"/>
        <w:ind w:left="0"/>
        <w:rPr>
          <w:sz w:val="23"/>
        </w:rPr>
      </w:pPr>
    </w:p>
    <w:p w14:paraId="4BD3AABB" w14:textId="77777777" w:rsidR="002B5470" w:rsidRDefault="00C93594" w:rsidP="00706FE6">
      <w:pPr>
        <w:pStyle w:val="ListParagraph"/>
        <w:numPr>
          <w:ilvl w:val="1"/>
          <w:numId w:val="9"/>
        </w:numPr>
        <w:tabs>
          <w:tab w:val="left" w:pos="0"/>
          <w:tab w:val="left" w:pos="515"/>
        </w:tabs>
        <w:spacing w:line="259" w:lineRule="auto"/>
        <w:ind w:left="139" w:right="191" w:firstLine="0"/>
      </w:pPr>
      <w:r>
        <w:t xml:space="preserve">Procedures will be developed by the REB to detail how reviews will be conducted during an emergency. The following will be taken into account: a) what research </w:t>
      </w:r>
      <w:r>
        <w:rPr>
          <w:spacing w:val="3"/>
        </w:rPr>
        <w:t xml:space="preserve">is </w:t>
      </w:r>
      <w:r>
        <w:t>“essential” research during an emergency, b) the initial ethics review</w:t>
      </w:r>
      <w:r>
        <w:rPr>
          <w:spacing w:val="-4"/>
        </w:rPr>
        <w:t xml:space="preserve"> </w:t>
      </w:r>
      <w:r>
        <w:t>process</w:t>
      </w:r>
      <w:r>
        <w:rPr>
          <w:spacing w:val="-3"/>
        </w:rPr>
        <w:t xml:space="preserve"> </w:t>
      </w:r>
      <w:r>
        <w:t>of</w:t>
      </w:r>
      <w:r>
        <w:rPr>
          <w:spacing w:val="-4"/>
        </w:rPr>
        <w:t xml:space="preserve"> </w:t>
      </w:r>
      <w:r>
        <w:t>new</w:t>
      </w:r>
      <w:r>
        <w:rPr>
          <w:spacing w:val="-3"/>
        </w:rPr>
        <w:t xml:space="preserve"> </w:t>
      </w:r>
      <w:r>
        <w:t>research</w:t>
      </w:r>
      <w:r>
        <w:rPr>
          <w:spacing w:val="-4"/>
        </w:rPr>
        <w:t xml:space="preserve"> </w:t>
      </w:r>
      <w:r>
        <w:t>projects</w:t>
      </w:r>
      <w:r>
        <w:rPr>
          <w:spacing w:val="-3"/>
        </w:rPr>
        <w:t xml:space="preserve"> </w:t>
      </w:r>
      <w:r>
        <w:t>arising</w:t>
      </w:r>
      <w:r>
        <w:rPr>
          <w:spacing w:val="-3"/>
        </w:rPr>
        <w:t xml:space="preserve"> </w:t>
      </w:r>
      <w:r>
        <w:t>from</w:t>
      </w:r>
      <w:r>
        <w:rPr>
          <w:spacing w:val="-2"/>
        </w:rPr>
        <w:t xml:space="preserve"> </w:t>
      </w:r>
      <w:r>
        <w:t>the</w:t>
      </w:r>
      <w:r>
        <w:rPr>
          <w:spacing w:val="-3"/>
        </w:rPr>
        <w:t xml:space="preserve"> </w:t>
      </w:r>
      <w:r>
        <w:t>emergency;</w:t>
      </w:r>
      <w:r>
        <w:rPr>
          <w:spacing w:val="-5"/>
        </w:rPr>
        <w:t xml:space="preserve"> </w:t>
      </w:r>
      <w:r>
        <w:t>c)</w:t>
      </w:r>
      <w:r>
        <w:rPr>
          <w:spacing w:val="-3"/>
        </w:rPr>
        <w:t xml:space="preserve"> </w:t>
      </w:r>
      <w:r>
        <w:t>continuing</w:t>
      </w:r>
      <w:r>
        <w:rPr>
          <w:spacing w:val="-2"/>
        </w:rPr>
        <w:t xml:space="preserve"> </w:t>
      </w:r>
      <w:r>
        <w:t>ethics</w:t>
      </w:r>
      <w:r>
        <w:rPr>
          <w:spacing w:val="-3"/>
        </w:rPr>
        <w:t xml:space="preserve"> </w:t>
      </w:r>
      <w:r>
        <w:t>review</w:t>
      </w:r>
      <w:r>
        <w:rPr>
          <w:spacing w:val="-4"/>
        </w:rPr>
        <w:t xml:space="preserve"> </w:t>
      </w:r>
      <w:r>
        <w:t>of</w:t>
      </w:r>
      <w:r>
        <w:rPr>
          <w:spacing w:val="-4"/>
        </w:rPr>
        <w:t xml:space="preserve"> </w:t>
      </w:r>
      <w:r>
        <w:t>research</w:t>
      </w:r>
      <w:r>
        <w:rPr>
          <w:spacing w:val="-4"/>
        </w:rPr>
        <w:t xml:space="preserve"> </w:t>
      </w:r>
      <w:r>
        <w:t>undertaken prior to the occurrence of the emergency; and d) the ethics review process for changes to approved research that may require action very rapidly during</w:t>
      </w:r>
      <w:r>
        <w:rPr>
          <w:spacing w:val="-9"/>
        </w:rPr>
        <w:t xml:space="preserve"> </w:t>
      </w:r>
      <w:r>
        <w:t>emergencies.</w:t>
      </w:r>
    </w:p>
    <w:p w14:paraId="1249A12D" w14:textId="77777777" w:rsidR="002B5470" w:rsidRDefault="002B5470" w:rsidP="00706FE6">
      <w:pPr>
        <w:pStyle w:val="BodyText"/>
        <w:tabs>
          <w:tab w:val="left" w:pos="0"/>
        </w:tabs>
        <w:spacing w:before="6"/>
        <w:ind w:left="0"/>
        <w:rPr>
          <w:sz w:val="23"/>
        </w:rPr>
      </w:pPr>
    </w:p>
    <w:p w14:paraId="2DB8FBA3" w14:textId="364046CD" w:rsidR="002B5470" w:rsidRDefault="00C93594" w:rsidP="00706FE6">
      <w:pPr>
        <w:pStyle w:val="ListParagraph"/>
        <w:numPr>
          <w:ilvl w:val="1"/>
          <w:numId w:val="9"/>
        </w:numPr>
        <w:tabs>
          <w:tab w:val="left" w:pos="0"/>
          <w:tab w:val="left" w:pos="515"/>
        </w:tabs>
        <w:spacing w:line="261" w:lineRule="auto"/>
        <w:ind w:left="139" w:right="227" w:firstLine="0"/>
      </w:pPr>
      <w:r>
        <w:t>The</w:t>
      </w:r>
      <w:r>
        <w:rPr>
          <w:spacing w:val="-3"/>
        </w:rPr>
        <w:t xml:space="preserve"> </w:t>
      </w:r>
      <w:r>
        <w:t>REB</w:t>
      </w:r>
      <w:r>
        <w:rPr>
          <w:spacing w:val="-2"/>
        </w:rPr>
        <w:t xml:space="preserve"> </w:t>
      </w:r>
      <w:r>
        <w:t>and</w:t>
      </w:r>
      <w:r>
        <w:rPr>
          <w:spacing w:val="-4"/>
        </w:rPr>
        <w:t xml:space="preserve"> </w:t>
      </w:r>
      <w:r w:rsidR="00FF4650">
        <w:t>i</w:t>
      </w:r>
      <w:r w:rsidR="00802BBE">
        <w:t>nvestigator</w:t>
      </w:r>
      <w:r>
        <w:t>s</w:t>
      </w:r>
      <w:r>
        <w:rPr>
          <w:spacing w:val="-2"/>
        </w:rPr>
        <w:t xml:space="preserve"> </w:t>
      </w:r>
      <w:r>
        <w:t>should</w:t>
      </w:r>
      <w:r>
        <w:rPr>
          <w:spacing w:val="-4"/>
        </w:rPr>
        <w:t xml:space="preserve"> </w:t>
      </w:r>
      <w:r>
        <w:t>ensure</w:t>
      </w:r>
      <w:r>
        <w:rPr>
          <w:spacing w:val="-2"/>
        </w:rPr>
        <w:t xml:space="preserve"> </w:t>
      </w:r>
      <w:r>
        <w:t>that the</w:t>
      </w:r>
      <w:r>
        <w:rPr>
          <w:spacing w:val="-2"/>
        </w:rPr>
        <w:t xml:space="preserve"> </w:t>
      </w:r>
      <w:r>
        <w:t>risks</w:t>
      </w:r>
      <w:r>
        <w:rPr>
          <w:spacing w:val="-3"/>
        </w:rPr>
        <w:t xml:space="preserve"> </w:t>
      </w:r>
      <w:r>
        <w:t>and</w:t>
      </w:r>
      <w:r>
        <w:rPr>
          <w:spacing w:val="-3"/>
        </w:rPr>
        <w:t xml:space="preserve"> </w:t>
      </w:r>
      <w:r>
        <w:t>potential</w:t>
      </w:r>
      <w:r>
        <w:rPr>
          <w:spacing w:val="-1"/>
        </w:rPr>
        <w:t xml:space="preserve"> </w:t>
      </w:r>
      <w:r>
        <w:t>benefits</w:t>
      </w:r>
      <w:r>
        <w:rPr>
          <w:spacing w:val="-2"/>
        </w:rPr>
        <w:t xml:space="preserve"> </w:t>
      </w:r>
      <w:r>
        <w:t>posed</w:t>
      </w:r>
      <w:r>
        <w:rPr>
          <w:spacing w:val="-4"/>
        </w:rPr>
        <w:t xml:space="preserve"> </w:t>
      </w:r>
      <w:r>
        <w:t>by</w:t>
      </w:r>
      <w:r>
        <w:rPr>
          <w:spacing w:val="-1"/>
        </w:rPr>
        <w:t xml:space="preserve"> </w:t>
      </w:r>
      <w:r>
        <w:t>any</w:t>
      </w:r>
      <w:r>
        <w:rPr>
          <w:spacing w:val="-2"/>
        </w:rPr>
        <w:t xml:space="preserve"> </w:t>
      </w:r>
      <w:r>
        <w:t>proposed</w:t>
      </w:r>
      <w:r>
        <w:rPr>
          <w:spacing w:val="-3"/>
        </w:rPr>
        <w:t xml:space="preserve"> </w:t>
      </w:r>
      <w:r>
        <w:t>research</w:t>
      </w:r>
      <w:r>
        <w:rPr>
          <w:spacing w:val="-4"/>
        </w:rPr>
        <w:t xml:space="preserve"> </w:t>
      </w:r>
      <w:r>
        <w:t>during an emergency are appropriately</w:t>
      </w:r>
      <w:r>
        <w:rPr>
          <w:spacing w:val="-8"/>
        </w:rPr>
        <w:t xml:space="preserve"> </w:t>
      </w:r>
      <w:r>
        <w:t>evaluated.</w:t>
      </w:r>
    </w:p>
    <w:p w14:paraId="2C9A7036" w14:textId="77777777" w:rsidR="002B5470" w:rsidRDefault="002B5470" w:rsidP="00706FE6">
      <w:pPr>
        <w:pStyle w:val="BodyText"/>
        <w:tabs>
          <w:tab w:val="left" w:pos="0"/>
        </w:tabs>
        <w:ind w:left="0"/>
        <w:rPr>
          <w:sz w:val="24"/>
        </w:rPr>
      </w:pPr>
    </w:p>
    <w:p w14:paraId="3BCF92D9" w14:textId="11136031" w:rsidR="002B5470" w:rsidRDefault="00C93594" w:rsidP="00706FE6">
      <w:pPr>
        <w:pStyle w:val="Heading1"/>
        <w:numPr>
          <w:ilvl w:val="0"/>
          <w:numId w:val="9"/>
        </w:numPr>
        <w:tabs>
          <w:tab w:val="left" w:pos="0"/>
          <w:tab w:val="left" w:pos="515"/>
        </w:tabs>
        <w:ind w:hanging="218"/>
      </w:pPr>
      <w:r>
        <w:t>RELATED POLICIES AND/OR</w:t>
      </w:r>
      <w:r>
        <w:rPr>
          <w:spacing w:val="-6"/>
        </w:rPr>
        <w:t xml:space="preserve"> </w:t>
      </w:r>
      <w:r>
        <w:t>LEGISLATION</w:t>
      </w:r>
    </w:p>
    <w:p w14:paraId="25415065" w14:textId="77777777" w:rsidR="002B5470" w:rsidRDefault="00C93594">
      <w:pPr>
        <w:pStyle w:val="ListParagraph"/>
        <w:numPr>
          <w:ilvl w:val="2"/>
          <w:numId w:val="1"/>
        </w:numPr>
        <w:tabs>
          <w:tab w:val="left" w:pos="859"/>
          <w:tab w:val="left" w:pos="861"/>
        </w:tabs>
        <w:spacing w:before="176"/>
        <w:ind w:hanging="362"/>
      </w:pPr>
      <w:r>
        <w:t>Tri-Council Policy Statement: Ethical Conduct for Research Involving Humans (TCPS Current</w:t>
      </w:r>
      <w:r>
        <w:rPr>
          <w:spacing w:val="-24"/>
        </w:rPr>
        <w:t xml:space="preserve"> </w:t>
      </w:r>
      <w:r>
        <w:t>Version)</w:t>
      </w:r>
    </w:p>
    <w:p w14:paraId="55B60A0F" w14:textId="77777777" w:rsidR="002B5470" w:rsidRDefault="00C93594">
      <w:pPr>
        <w:pStyle w:val="ListParagraph"/>
        <w:numPr>
          <w:ilvl w:val="2"/>
          <w:numId w:val="1"/>
        </w:numPr>
        <w:tabs>
          <w:tab w:val="left" w:pos="859"/>
          <w:tab w:val="left" w:pos="861"/>
        </w:tabs>
        <w:spacing w:before="22"/>
        <w:ind w:hanging="362"/>
      </w:pPr>
      <w:r>
        <w:t>The International Council for Harmonisation Guidelines for Good Clinical Practice, Section</w:t>
      </w:r>
      <w:r>
        <w:rPr>
          <w:spacing w:val="-27"/>
        </w:rPr>
        <w:t xml:space="preserve"> </w:t>
      </w:r>
      <w:r>
        <w:rPr>
          <w:spacing w:val="3"/>
        </w:rPr>
        <w:t>3;</w:t>
      </w:r>
    </w:p>
    <w:p w14:paraId="43ACB359" w14:textId="77777777" w:rsidR="002B5470" w:rsidRDefault="00C93594">
      <w:pPr>
        <w:pStyle w:val="ListParagraph"/>
        <w:numPr>
          <w:ilvl w:val="2"/>
          <w:numId w:val="1"/>
        </w:numPr>
        <w:tabs>
          <w:tab w:val="left" w:pos="860"/>
          <w:tab w:val="left" w:pos="861"/>
        </w:tabs>
        <w:spacing w:before="22" w:line="256" w:lineRule="auto"/>
        <w:ind w:right="769"/>
      </w:pPr>
      <w:r>
        <w:t>Health</w:t>
      </w:r>
      <w:r>
        <w:rPr>
          <w:spacing w:val="-3"/>
        </w:rPr>
        <w:t xml:space="preserve"> </w:t>
      </w:r>
      <w:r>
        <w:t>Canada</w:t>
      </w:r>
      <w:r>
        <w:rPr>
          <w:spacing w:val="-3"/>
        </w:rPr>
        <w:t xml:space="preserve"> </w:t>
      </w:r>
      <w:r>
        <w:t>[Division</w:t>
      </w:r>
      <w:r>
        <w:rPr>
          <w:spacing w:val="-3"/>
        </w:rPr>
        <w:t xml:space="preserve"> </w:t>
      </w:r>
      <w:r>
        <w:t>5,</w:t>
      </w:r>
      <w:r>
        <w:rPr>
          <w:spacing w:val="-5"/>
        </w:rPr>
        <w:t xml:space="preserve"> </w:t>
      </w:r>
      <w:r>
        <w:t>Part</w:t>
      </w:r>
      <w:r>
        <w:rPr>
          <w:spacing w:val="-4"/>
        </w:rPr>
        <w:t xml:space="preserve"> </w:t>
      </w:r>
      <w:r>
        <w:t>C.05</w:t>
      </w:r>
      <w:r>
        <w:rPr>
          <w:spacing w:val="-4"/>
        </w:rPr>
        <w:t xml:space="preserve"> </w:t>
      </w:r>
      <w:r>
        <w:t>of</w:t>
      </w:r>
      <w:r>
        <w:rPr>
          <w:spacing w:val="-2"/>
        </w:rPr>
        <w:t xml:space="preserve"> </w:t>
      </w:r>
      <w:r>
        <w:t>the</w:t>
      </w:r>
      <w:r>
        <w:rPr>
          <w:spacing w:val="-2"/>
        </w:rPr>
        <w:t xml:space="preserve"> </w:t>
      </w:r>
      <w:r>
        <w:t>Food</w:t>
      </w:r>
      <w:r>
        <w:rPr>
          <w:spacing w:val="2"/>
        </w:rPr>
        <w:t xml:space="preserve"> </w:t>
      </w:r>
      <w:r>
        <w:t>and</w:t>
      </w:r>
      <w:r>
        <w:rPr>
          <w:spacing w:val="-3"/>
        </w:rPr>
        <w:t xml:space="preserve"> </w:t>
      </w:r>
      <w:r>
        <w:t>Drug</w:t>
      </w:r>
      <w:r>
        <w:rPr>
          <w:spacing w:val="-1"/>
        </w:rPr>
        <w:t xml:space="preserve"> </w:t>
      </w:r>
      <w:r>
        <w:t>Act</w:t>
      </w:r>
      <w:r>
        <w:rPr>
          <w:spacing w:val="-4"/>
        </w:rPr>
        <w:t xml:space="preserve"> </w:t>
      </w:r>
      <w:r>
        <w:t>(clinical</w:t>
      </w:r>
      <w:r>
        <w:rPr>
          <w:spacing w:val="1"/>
        </w:rPr>
        <w:t xml:space="preserve"> </w:t>
      </w:r>
      <w:r>
        <w:t>drug</w:t>
      </w:r>
      <w:r>
        <w:rPr>
          <w:spacing w:val="-1"/>
        </w:rPr>
        <w:t xml:space="preserve"> </w:t>
      </w:r>
      <w:r>
        <w:t>trials),</w:t>
      </w:r>
      <w:r>
        <w:rPr>
          <w:spacing w:val="-5"/>
        </w:rPr>
        <w:t xml:space="preserve"> </w:t>
      </w:r>
      <w:r>
        <w:t>Division</w:t>
      </w:r>
      <w:r>
        <w:rPr>
          <w:spacing w:val="-3"/>
        </w:rPr>
        <w:t xml:space="preserve"> </w:t>
      </w:r>
      <w:r>
        <w:t>3</w:t>
      </w:r>
      <w:r>
        <w:rPr>
          <w:spacing w:val="-4"/>
        </w:rPr>
        <w:t xml:space="preserve"> </w:t>
      </w:r>
      <w:r>
        <w:t>(PET</w:t>
      </w:r>
      <w:r>
        <w:rPr>
          <w:spacing w:val="-4"/>
        </w:rPr>
        <w:t xml:space="preserve"> </w:t>
      </w:r>
      <w:r>
        <w:t>tracers), Medical Device Regulations, and the Natural and Non-Prescription Health Product</w:t>
      </w:r>
      <w:r>
        <w:rPr>
          <w:spacing w:val="-29"/>
        </w:rPr>
        <w:t xml:space="preserve"> </w:t>
      </w:r>
      <w:r>
        <w:t>Regulations];</w:t>
      </w:r>
    </w:p>
    <w:p w14:paraId="53692543" w14:textId="77777777" w:rsidR="002B5470" w:rsidRDefault="00C93594">
      <w:pPr>
        <w:pStyle w:val="ListParagraph"/>
        <w:numPr>
          <w:ilvl w:val="2"/>
          <w:numId w:val="1"/>
        </w:numPr>
        <w:tabs>
          <w:tab w:val="left" w:pos="860"/>
          <w:tab w:val="left" w:pos="861"/>
        </w:tabs>
        <w:spacing w:before="4"/>
      </w:pPr>
      <w:r>
        <w:t>Ontario Personal health Information Protection Act</w:t>
      </w:r>
      <w:r>
        <w:rPr>
          <w:spacing w:val="-13"/>
        </w:rPr>
        <w:t xml:space="preserve"> </w:t>
      </w:r>
      <w:r>
        <w:t>(PHIPA)</w:t>
      </w:r>
    </w:p>
    <w:p w14:paraId="03C76392" w14:textId="77777777" w:rsidR="002B5470" w:rsidRDefault="00C93594">
      <w:pPr>
        <w:pStyle w:val="ListParagraph"/>
        <w:numPr>
          <w:ilvl w:val="2"/>
          <w:numId w:val="1"/>
        </w:numPr>
        <w:tabs>
          <w:tab w:val="left" w:pos="860"/>
          <w:tab w:val="left" w:pos="861"/>
        </w:tabs>
        <w:spacing w:before="23"/>
      </w:pPr>
      <w:r>
        <w:t>US Food and Drug Administration (FDA) code of Federal Regulations, Title 21, Part</w:t>
      </w:r>
      <w:r>
        <w:rPr>
          <w:spacing w:val="-30"/>
        </w:rPr>
        <w:t xml:space="preserve"> </w:t>
      </w:r>
      <w:r>
        <w:t>56.107;</w:t>
      </w:r>
    </w:p>
    <w:p w14:paraId="13437E8E" w14:textId="77777777" w:rsidR="002B5470" w:rsidRDefault="00C93594">
      <w:pPr>
        <w:pStyle w:val="ListParagraph"/>
        <w:numPr>
          <w:ilvl w:val="2"/>
          <w:numId w:val="1"/>
        </w:numPr>
        <w:tabs>
          <w:tab w:val="left" w:pos="860"/>
          <w:tab w:val="left" w:pos="861"/>
        </w:tabs>
        <w:spacing w:before="22"/>
      </w:pPr>
      <w:r>
        <w:t>US FDA Information Sheets, Guidance for Institutional Review Boards and Clinical</w:t>
      </w:r>
      <w:r>
        <w:rPr>
          <w:spacing w:val="-26"/>
        </w:rPr>
        <w:t xml:space="preserve"> </w:t>
      </w:r>
      <w:r>
        <w:t>Investigators</w:t>
      </w:r>
    </w:p>
    <w:p w14:paraId="1F5ACF00" w14:textId="77777777" w:rsidR="002B5470" w:rsidRDefault="00C93594">
      <w:pPr>
        <w:pStyle w:val="ListParagraph"/>
        <w:numPr>
          <w:ilvl w:val="2"/>
          <w:numId w:val="1"/>
        </w:numPr>
        <w:tabs>
          <w:tab w:val="left" w:pos="860"/>
          <w:tab w:val="left" w:pos="861"/>
        </w:tabs>
        <w:spacing w:before="22"/>
      </w:pPr>
      <w:r>
        <w:t>US office for Human Research Protections 45 Code of Federal Regulations title</w:t>
      </w:r>
      <w:r>
        <w:rPr>
          <w:spacing w:val="-26"/>
        </w:rPr>
        <w:t xml:space="preserve"> </w:t>
      </w:r>
      <w:r>
        <w:t>46.107;</w:t>
      </w:r>
    </w:p>
    <w:p w14:paraId="79C3FC6D" w14:textId="77777777" w:rsidR="002B5470" w:rsidRDefault="00C93594">
      <w:pPr>
        <w:pStyle w:val="ListParagraph"/>
        <w:numPr>
          <w:ilvl w:val="2"/>
          <w:numId w:val="1"/>
        </w:numPr>
        <w:tabs>
          <w:tab w:val="left" w:pos="860"/>
          <w:tab w:val="left" w:pos="861"/>
        </w:tabs>
        <w:spacing w:before="17" w:line="256" w:lineRule="auto"/>
        <w:ind w:right="798"/>
      </w:pPr>
      <w:r>
        <w:t>Canadian Association of Research Ethics Boards Guidance on Reporting Unanticipated Problems including Adverse Vents to Research Ethics Boards in</w:t>
      </w:r>
      <w:r>
        <w:rPr>
          <w:spacing w:val="-14"/>
        </w:rPr>
        <w:t xml:space="preserve"> </w:t>
      </w:r>
      <w:r>
        <w:t>Canada;</w:t>
      </w:r>
    </w:p>
    <w:p w14:paraId="6EB7E219" w14:textId="77777777" w:rsidR="002B5470" w:rsidRDefault="00C93594">
      <w:pPr>
        <w:pStyle w:val="ListParagraph"/>
        <w:numPr>
          <w:ilvl w:val="2"/>
          <w:numId w:val="1"/>
        </w:numPr>
        <w:tabs>
          <w:tab w:val="left" w:pos="860"/>
          <w:tab w:val="left" w:pos="861"/>
        </w:tabs>
        <w:spacing w:before="9" w:line="256" w:lineRule="auto"/>
        <w:ind w:right="618" w:hanging="360"/>
      </w:pPr>
      <w:r>
        <w:t>US FDA Guidance for Industry and Investigators Safety Reporting Requirements for INDs and BA/BE Studies (2010);</w:t>
      </w:r>
    </w:p>
    <w:sectPr w:rsidR="002B5470" w:rsidSect="00706FE6">
      <w:pgSz w:w="12240" w:h="15840"/>
      <w:pgMar w:top="1560" w:right="580" w:bottom="1500" w:left="722" w:header="714" w:footer="13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1125C" w14:textId="77777777" w:rsidR="00605FF8" w:rsidRDefault="00605FF8">
      <w:r>
        <w:separator/>
      </w:r>
    </w:p>
  </w:endnote>
  <w:endnote w:type="continuationSeparator" w:id="0">
    <w:p w14:paraId="4FA2742E" w14:textId="77777777" w:rsidR="00605FF8" w:rsidRDefault="0060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C965" w14:textId="19244BA7" w:rsidR="00661266" w:rsidRDefault="00661266">
    <w:pPr>
      <w:pStyle w:val="Footer"/>
    </w:pPr>
    <w:r>
      <w:t xml:space="preserve">Terms of Reference – </w:t>
    </w:r>
    <w:r w:rsidR="00EF0201">
      <w:t>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E9E88" w14:textId="77777777" w:rsidR="00605FF8" w:rsidRDefault="00605FF8">
      <w:r>
        <w:separator/>
      </w:r>
    </w:p>
  </w:footnote>
  <w:footnote w:type="continuationSeparator" w:id="0">
    <w:p w14:paraId="687FE1E3" w14:textId="77777777" w:rsidR="00605FF8" w:rsidRDefault="00605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C52"/>
    <w:multiLevelType w:val="multilevel"/>
    <w:tmpl w:val="27B2413A"/>
    <w:lvl w:ilvl="0">
      <w:start w:val="4"/>
      <w:numFmt w:val="decimal"/>
      <w:lvlText w:val="%1"/>
      <w:lvlJc w:val="left"/>
      <w:pPr>
        <w:ind w:left="466" w:hanging="327"/>
      </w:pPr>
      <w:rPr>
        <w:rFonts w:hint="default"/>
        <w:lang w:val="en-CA" w:eastAsia="en-CA" w:bidi="en-CA"/>
      </w:rPr>
    </w:lvl>
    <w:lvl w:ilvl="1">
      <w:numFmt w:val="decimal"/>
      <w:lvlText w:val="%1.%2"/>
      <w:lvlJc w:val="left"/>
      <w:pPr>
        <w:ind w:left="466" w:hanging="327"/>
      </w:pPr>
      <w:rPr>
        <w:rFonts w:hint="default"/>
        <w:b/>
        <w:bCs/>
        <w:spacing w:val="-2"/>
        <w:w w:val="100"/>
        <w:lang w:val="en-CA" w:eastAsia="en-CA" w:bidi="en-CA"/>
      </w:rPr>
    </w:lvl>
    <w:lvl w:ilvl="2">
      <w:numFmt w:val="bullet"/>
      <w:lvlText w:val=""/>
      <w:lvlJc w:val="left"/>
      <w:pPr>
        <w:ind w:left="860" w:hanging="361"/>
      </w:pPr>
      <w:rPr>
        <w:rFonts w:ascii="Symbol" w:eastAsia="Symbol" w:hAnsi="Symbol" w:cs="Symbol" w:hint="default"/>
        <w:w w:val="100"/>
        <w:sz w:val="22"/>
        <w:szCs w:val="22"/>
        <w:lang w:val="en-CA" w:eastAsia="en-CA" w:bidi="en-CA"/>
      </w:rPr>
    </w:lvl>
    <w:lvl w:ilvl="3">
      <w:numFmt w:val="bullet"/>
      <w:lvlText w:val="•"/>
      <w:lvlJc w:val="left"/>
      <w:pPr>
        <w:ind w:left="3131" w:hanging="361"/>
      </w:pPr>
      <w:rPr>
        <w:rFonts w:hint="default"/>
        <w:lang w:val="en-CA" w:eastAsia="en-CA" w:bidi="en-CA"/>
      </w:rPr>
    </w:lvl>
    <w:lvl w:ilvl="4">
      <w:numFmt w:val="bullet"/>
      <w:lvlText w:val="•"/>
      <w:lvlJc w:val="left"/>
      <w:pPr>
        <w:ind w:left="4266" w:hanging="361"/>
      </w:pPr>
      <w:rPr>
        <w:rFonts w:hint="default"/>
        <w:lang w:val="en-CA" w:eastAsia="en-CA" w:bidi="en-CA"/>
      </w:rPr>
    </w:lvl>
    <w:lvl w:ilvl="5">
      <w:numFmt w:val="bullet"/>
      <w:lvlText w:val="•"/>
      <w:lvlJc w:val="left"/>
      <w:pPr>
        <w:ind w:left="5402" w:hanging="361"/>
      </w:pPr>
      <w:rPr>
        <w:rFonts w:hint="default"/>
        <w:lang w:val="en-CA" w:eastAsia="en-CA" w:bidi="en-CA"/>
      </w:rPr>
    </w:lvl>
    <w:lvl w:ilvl="6">
      <w:numFmt w:val="bullet"/>
      <w:lvlText w:val="•"/>
      <w:lvlJc w:val="left"/>
      <w:pPr>
        <w:ind w:left="6537" w:hanging="361"/>
      </w:pPr>
      <w:rPr>
        <w:rFonts w:hint="default"/>
        <w:lang w:val="en-CA" w:eastAsia="en-CA" w:bidi="en-CA"/>
      </w:rPr>
    </w:lvl>
    <w:lvl w:ilvl="7">
      <w:numFmt w:val="bullet"/>
      <w:lvlText w:val="•"/>
      <w:lvlJc w:val="left"/>
      <w:pPr>
        <w:ind w:left="7673" w:hanging="361"/>
      </w:pPr>
      <w:rPr>
        <w:rFonts w:hint="default"/>
        <w:lang w:val="en-CA" w:eastAsia="en-CA" w:bidi="en-CA"/>
      </w:rPr>
    </w:lvl>
    <w:lvl w:ilvl="8">
      <w:numFmt w:val="bullet"/>
      <w:lvlText w:val="•"/>
      <w:lvlJc w:val="left"/>
      <w:pPr>
        <w:ind w:left="8808" w:hanging="361"/>
      </w:pPr>
      <w:rPr>
        <w:rFonts w:hint="default"/>
        <w:lang w:val="en-CA" w:eastAsia="en-CA" w:bidi="en-CA"/>
      </w:rPr>
    </w:lvl>
  </w:abstractNum>
  <w:abstractNum w:abstractNumId="1" w15:restartNumberingAfterBreak="0">
    <w:nsid w:val="08B942E9"/>
    <w:multiLevelType w:val="multilevel"/>
    <w:tmpl w:val="994C98B0"/>
    <w:lvl w:ilvl="0">
      <w:start w:val="1"/>
      <w:numFmt w:val="decimal"/>
      <w:lvlText w:val="%1"/>
      <w:lvlJc w:val="left"/>
      <w:pPr>
        <w:ind w:left="466" w:hanging="327"/>
      </w:pPr>
      <w:rPr>
        <w:rFonts w:hint="default"/>
        <w:lang w:val="en-CA" w:eastAsia="en-CA" w:bidi="en-CA"/>
      </w:rPr>
    </w:lvl>
    <w:lvl w:ilvl="1">
      <w:numFmt w:val="decimal"/>
      <w:lvlText w:val="%1.%2"/>
      <w:lvlJc w:val="left"/>
      <w:pPr>
        <w:ind w:left="466" w:hanging="327"/>
      </w:pPr>
      <w:rPr>
        <w:rFonts w:hint="default"/>
        <w:b/>
        <w:bCs/>
        <w:spacing w:val="-2"/>
        <w:w w:val="100"/>
        <w:lang w:val="en-CA" w:eastAsia="en-CA" w:bidi="en-CA"/>
      </w:rPr>
    </w:lvl>
    <w:lvl w:ilvl="2">
      <w:numFmt w:val="bullet"/>
      <w:lvlText w:val="•"/>
      <w:lvlJc w:val="left"/>
      <w:pPr>
        <w:ind w:left="2584" w:hanging="327"/>
      </w:pPr>
      <w:rPr>
        <w:rFonts w:hint="default"/>
        <w:lang w:val="en-CA" w:eastAsia="en-CA" w:bidi="en-CA"/>
      </w:rPr>
    </w:lvl>
    <w:lvl w:ilvl="3">
      <w:numFmt w:val="bullet"/>
      <w:lvlText w:val="•"/>
      <w:lvlJc w:val="left"/>
      <w:pPr>
        <w:ind w:left="3646" w:hanging="327"/>
      </w:pPr>
      <w:rPr>
        <w:rFonts w:hint="default"/>
        <w:lang w:val="en-CA" w:eastAsia="en-CA" w:bidi="en-CA"/>
      </w:rPr>
    </w:lvl>
    <w:lvl w:ilvl="4">
      <w:numFmt w:val="bullet"/>
      <w:lvlText w:val="•"/>
      <w:lvlJc w:val="left"/>
      <w:pPr>
        <w:ind w:left="4708" w:hanging="327"/>
      </w:pPr>
      <w:rPr>
        <w:rFonts w:hint="default"/>
        <w:lang w:val="en-CA" w:eastAsia="en-CA" w:bidi="en-CA"/>
      </w:rPr>
    </w:lvl>
    <w:lvl w:ilvl="5">
      <w:numFmt w:val="bullet"/>
      <w:lvlText w:val="•"/>
      <w:lvlJc w:val="left"/>
      <w:pPr>
        <w:ind w:left="5770" w:hanging="327"/>
      </w:pPr>
      <w:rPr>
        <w:rFonts w:hint="default"/>
        <w:lang w:val="en-CA" w:eastAsia="en-CA" w:bidi="en-CA"/>
      </w:rPr>
    </w:lvl>
    <w:lvl w:ilvl="6">
      <w:numFmt w:val="bullet"/>
      <w:lvlText w:val="•"/>
      <w:lvlJc w:val="left"/>
      <w:pPr>
        <w:ind w:left="6832" w:hanging="327"/>
      </w:pPr>
      <w:rPr>
        <w:rFonts w:hint="default"/>
        <w:lang w:val="en-CA" w:eastAsia="en-CA" w:bidi="en-CA"/>
      </w:rPr>
    </w:lvl>
    <w:lvl w:ilvl="7">
      <w:numFmt w:val="bullet"/>
      <w:lvlText w:val="•"/>
      <w:lvlJc w:val="left"/>
      <w:pPr>
        <w:ind w:left="7894" w:hanging="327"/>
      </w:pPr>
      <w:rPr>
        <w:rFonts w:hint="default"/>
        <w:lang w:val="en-CA" w:eastAsia="en-CA" w:bidi="en-CA"/>
      </w:rPr>
    </w:lvl>
    <w:lvl w:ilvl="8">
      <w:numFmt w:val="bullet"/>
      <w:lvlText w:val="•"/>
      <w:lvlJc w:val="left"/>
      <w:pPr>
        <w:ind w:left="8956" w:hanging="327"/>
      </w:pPr>
      <w:rPr>
        <w:rFonts w:hint="default"/>
        <w:lang w:val="en-CA" w:eastAsia="en-CA" w:bidi="en-CA"/>
      </w:rPr>
    </w:lvl>
  </w:abstractNum>
  <w:abstractNum w:abstractNumId="2" w15:restartNumberingAfterBreak="0">
    <w:nsid w:val="09955B78"/>
    <w:multiLevelType w:val="hybridMultilevel"/>
    <w:tmpl w:val="AD2E3E98"/>
    <w:lvl w:ilvl="0" w:tplc="10090001">
      <w:start w:val="1"/>
      <w:numFmt w:val="bullet"/>
      <w:lvlText w:val=""/>
      <w:lvlJc w:val="left"/>
      <w:pPr>
        <w:ind w:left="860" w:hanging="360"/>
      </w:pPr>
      <w:rPr>
        <w:rFonts w:ascii="Symbol" w:hAnsi="Symbol" w:hint="default"/>
      </w:rPr>
    </w:lvl>
    <w:lvl w:ilvl="1" w:tplc="10090003" w:tentative="1">
      <w:start w:val="1"/>
      <w:numFmt w:val="bullet"/>
      <w:lvlText w:val="o"/>
      <w:lvlJc w:val="left"/>
      <w:pPr>
        <w:ind w:left="1580" w:hanging="360"/>
      </w:pPr>
      <w:rPr>
        <w:rFonts w:ascii="Courier New" w:hAnsi="Courier New" w:cs="Courier New" w:hint="default"/>
      </w:rPr>
    </w:lvl>
    <w:lvl w:ilvl="2" w:tplc="10090005" w:tentative="1">
      <w:start w:val="1"/>
      <w:numFmt w:val="bullet"/>
      <w:lvlText w:val=""/>
      <w:lvlJc w:val="left"/>
      <w:pPr>
        <w:ind w:left="2300" w:hanging="360"/>
      </w:pPr>
      <w:rPr>
        <w:rFonts w:ascii="Wingdings" w:hAnsi="Wingdings" w:hint="default"/>
      </w:rPr>
    </w:lvl>
    <w:lvl w:ilvl="3" w:tplc="10090001" w:tentative="1">
      <w:start w:val="1"/>
      <w:numFmt w:val="bullet"/>
      <w:lvlText w:val=""/>
      <w:lvlJc w:val="left"/>
      <w:pPr>
        <w:ind w:left="3020" w:hanging="360"/>
      </w:pPr>
      <w:rPr>
        <w:rFonts w:ascii="Symbol" w:hAnsi="Symbol" w:hint="default"/>
      </w:rPr>
    </w:lvl>
    <w:lvl w:ilvl="4" w:tplc="10090003" w:tentative="1">
      <w:start w:val="1"/>
      <w:numFmt w:val="bullet"/>
      <w:lvlText w:val="o"/>
      <w:lvlJc w:val="left"/>
      <w:pPr>
        <w:ind w:left="3740" w:hanging="360"/>
      </w:pPr>
      <w:rPr>
        <w:rFonts w:ascii="Courier New" w:hAnsi="Courier New" w:cs="Courier New" w:hint="default"/>
      </w:rPr>
    </w:lvl>
    <w:lvl w:ilvl="5" w:tplc="10090005" w:tentative="1">
      <w:start w:val="1"/>
      <w:numFmt w:val="bullet"/>
      <w:lvlText w:val=""/>
      <w:lvlJc w:val="left"/>
      <w:pPr>
        <w:ind w:left="4460" w:hanging="360"/>
      </w:pPr>
      <w:rPr>
        <w:rFonts w:ascii="Wingdings" w:hAnsi="Wingdings" w:hint="default"/>
      </w:rPr>
    </w:lvl>
    <w:lvl w:ilvl="6" w:tplc="10090001" w:tentative="1">
      <w:start w:val="1"/>
      <w:numFmt w:val="bullet"/>
      <w:lvlText w:val=""/>
      <w:lvlJc w:val="left"/>
      <w:pPr>
        <w:ind w:left="5180" w:hanging="360"/>
      </w:pPr>
      <w:rPr>
        <w:rFonts w:ascii="Symbol" w:hAnsi="Symbol" w:hint="default"/>
      </w:rPr>
    </w:lvl>
    <w:lvl w:ilvl="7" w:tplc="10090003" w:tentative="1">
      <w:start w:val="1"/>
      <w:numFmt w:val="bullet"/>
      <w:lvlText w:val="o"/>
      <w:lvlJc w:val="left"/>
      <w:pPr>
        <w:ind w:left="5900" w:hanging="360"/>
      </w:pPr>
      <w:rPr>
        <w:rFonts w:ascii="Courier New" w:hAnsi="Courier New" w:cs="Courier New" w:hint="default"/>
      </w:rPr>
    </w:lvl>
    <w:lvl w:ilvl="8" w:tplc="10090005" w:tentative="1">
      <w:start w:val="1"/>
      <w:numFmt w:val="bullet"/>
      <w:lvlText w:val=""/>
      <w:lvlJc w:val="left"/>
      <w:pPr>
        <w:ind w:left="6620" w:hanging="360"/>
      </w:pPr>
      <w:rPr>
        <w:rFonts w:ascii="Wingdings" w:hAnsi="Wingdings" w:hint="default"/>
      </w:rPr>
    </w:lvl>
  </w:abstractNum>
  <w:abstractNum w:abstractNumId="3" w15:restartNumberingAfterBreak="0">
    <w:nsid w:val="162077C7"/>
    <w:multiLevelType w:val="multilevel"/>
    <w:tmpl w:val="B7FE1BB6"/>
    <w:lvl w:ilvl="0">
      <w:start w:val="8"/>
      <w:numFmt w:val="decimal"/>
      <w:lvlText w:val="%1.0"/>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2298" w:hanging="720"/>
      </w:pPr>
      <w:rPr>
        <w:rFonts w:hint="default"/>
      </w:rPr>
    </w:lvl>
    <w:lvl w:ilvl="3">
      <w:start w:val="1"/>
      <w:numFmt w:val="decimal"/>
      <w:lvlText w:val="%1.%2.%3.%4"/>
      <w:lvlJc w:val="left"/>
      <w:pPr>
        <w:ind w:left="3018" w:hanging="720"/>
      </w:pPr>
      <w:rPr>
        <w:rFonts w:hint="default"/>
      </w:rPr>
    </w:lvl>
    <w:lvl w:ilvl="4">
      <w:start w:val="1"/>
      <w:numFmt w:val="decimal"/>
      <w:lvlText w:val="%1.%2.%3.%4.%5"/>
      <w:lvlJc w:val="left"/>
      <w:pPr>
        <w:ind w:left="4098" w:hanging="1080"/>
      </w:pPr>
      <w:rPr>
        <w:rFonts w:hint="default"/>
      </w:rPr>
    </w:lvl>
    <w:lvl w:ilvl="5">
      <w:start w:val="1"/>
      <w:numFmt w:val="decimal"/>
      <w:lvlText w:val="%1.%2.%3.%4.%5.%6"/>
      <w:lvlJc w:val="left"/>
      <w:pPr>
        <w:ind w:left="4818"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18" w:hanging="1440"/>
      </w:pPr>
      <w:rPr>
        <w:rFonts w:hint="default"/>
      </w:rPr>
    </w:lvl>
    <w:lvl w:ilvl="8">
      <w:start w:val="1"/>
      <w:numFmt w:val="decimal"/>
      <w:lvlText w:val="%1.%2.%3.%4.%5.%6.%7.%8.%9"/>
      <w:lvlJc w:val="left"/>
      <w:pPr>
        <w:ind w:left="7698" w:hanging="1800"/>
      </w:pPr>
      <w:rPr>
        <w:rFonts w:hint="default"/>
      </w:rPr>
    </w:lvl>
  </w:abstractNum>
  <w:abstractNum w:abstractNumId="4" w15:restartNumberingAfterBreak="0">
    <w:nsid w:val="169E56ED"/>
    <w:multiLevelType w:val="multilevel"/>
    <w:tmpl w:val="FEF0E73A"/>
    <w:lvl w:ilvl="0">
      <w:start w:val="8"/>
      <w:numFmt w:val="decimal"/>
      <w:lvlText w:val="%1"/>
      <w:lvlJc w:val="left"/>
      <w:pPr>
        <w:ind w:left="466" w:hanging="327"/>
      </w:pPr>
      <w:rPr>
        <w:rFonts w:hint="default"/>
        <w:lang w:val="en-CA" w:eastAsia="en-CA" w:bidi="en-CA"/>
      </w:rPr>
    </w:lvl>
    <w:lvl w:ilvl="1">
      <w:numFmt w:val="decimal"/>
      <w:lvlText w:val="%1.%2"/>
      <w:lvlJc w:val="left"/>
      <w:pPr>
        <w:ind w:left="466" w:hanging="327"/>
      </w:pPr>
      <w:rPr>
        <w:rFonts w:hint="default"/>
        <w:b/>
        <w:bCs/>
        <w:spacing w:val="-2"/>
        <w:w w:val="100"/>
        <w:lang w:val="en-CA" w:eastAsia="en-CA" w:bidi="en-CA"/>
      </w:rPr>
    </w:lvl>
    <w:lvl w:ilvl="2">
      <w:numFmt w:val="bullet"/>
      <w:lvlText w:val="•"/>
      <w:lvlJc w:val="left"/>
      <w:pPr>
        <w:ind w:left="2584" w:hanging="327"/>
      </w:pPr>
      <w:rPr>
        <w:rFonts w:hint="default"/>
        <w:lang w:val="en-CA" w:eastAsia="en-CA" w:bidi="en-CA"/>
      </w:rPr>
    </w:lvl>
    <w:lvl w:ilvl="3">
      <w:numFmt w:val="bullet"/>
      <w:lvlText w:val="•"/>
      <w:lvlJc w:val="left"/>
      <w:pPr>
        <w:ind w:left="3646" w:hanging="327"/>
      </w:pPr>
      <w:rPr>
        <w:rFonts w:hint="default"/>
        <w:lang w:val="en-CA" w:eastAsia="en-CA" w:bidi="en-CA"/>
      </w:rPr>
    </w:lvl>
    <w:lvl w:ilvl="4">
      <w:numFmt w:val="bullet"/>
      <w:lvlText w:val="•"/>
      <w:lvlJc w:val="left"/>
      <w:pPr>
        <w:ind w:left="4708" w:hanging="327"/>
      </w:pPr>
      <w:rPr>
        <w:rFonts w:hint="default"/>
        <w:lang w:val="en-CA" w:eastAsia="en-CA" w:bidi="en-CA"/>
      </w:rPr>
    </w:lvl>
    <w:lvl w:ilvl="5">
      <w:numFmt w:val="bullet"/>
      <w:lvlText w:val="•"/>
      <w:lvlJc w:val="left"/>
      <w:pPr>
        <w:ind w:left="5770" w:hanging="327"/>
      </w:pPr>
      <w:rPr>
        <w:rFonts w:hint="default"/>
        <w:lang w:val="en-CA" w:eastAsia="en-CA" w:bidi="en-CA"/>
      </w:rPr>
    </w:lvl>
    <w:lvl w:ilvl="6">
      <w:numFmt w:val="bullet"/>
      <w:lvlText w:val="•"/>
      <w:lvlJc w:val="left"/>
      <w:pPr>
        <w:ind w:left="6832" w:hanging="327"/>
      </w:pPr>
      <w:rPr>
        <w:rFonts w:hint="default"/>
        <w:lang w:val="en-CA" w:eastAsia="en-CA" w:bidi="en-CA"/>
      </w:rPr>
    </w:lvl>
    <w:lvl w:ilvl="7">
      <w:numFmt w:val="bullet"/>
      <w:lvlText w:val="•"/>
      <w:lvlJc w:val="left"/>
      <w:pPr>
        <w:ind w:left="7894" w:hanging="327"/>
      </w:pPr>
      <w:rPr>
        <w:rFonts w:hint="default"/>
        <w:lang w:val="en-CA" w:eastAsia="en-CA" w:bidi="en-CA"/>
      </w:rPr>
    </w:lvl>
    <w:lvl w:ilvl="8">
      <w:numFmt w:val="bullet"/>
      <w:lvlText w:val="•"/>
      <w:lvlJc w:val="left"/>
      <w:pPr>
        <w:ind w:left="8956" w:hanging="327"/>
      </w:pPr>
      <w:rPr>
        <w:rFonts w:hint="default"/>
        <w:lang w:val="en-CA" w:eastAsia="en-CA" w:bidi="en-CA"/>
      </w:rPr>
    </w:lvl>
  </w:abstractNum>
  <w:abstractNum w:abstractNumId="5" w15:restartNumberingAfterBreak="0">
    <w:nsid w:val="32046E31"/>
    <w:multiLevelType w:val="multilevel"/>
    <w:tmpl w:val="32123D9A"/>
    <w:lvl w:ilvl="0">
      <w:start w:val="7"/>
      <w:numFmt w:val="decimal"/>
      <w:lvlText w:val="%1"/>
      <w:lvlJc w:val="left"/>
      <w:pPr>
        <w:ind w:left="465" w:hanging="327"/>
      </w:pPr>
      <w:rPr>
        <w:rFonts w:hint="default"/>
        <w:lang w:val="en-CA" w:eastAsia="en-CA" w:bidi="en-CA"/>
      </w:rPr>
    </w:lvl>
    <w:lvl w:ilvl="1">
      <w:numFmt w:val="decimal"/>
      <w:lvlText w:val="%1.%2"/>
      <w:lvlJc w:val="left"/>
      <w:pPr>
        <w:ind w:left="469" w:hanging="327"/>
      </w:pPr>
      <w:rPr>
        <w:rFonts w:hint="default"/>
        <w:b/>
        <w:bCs/>
        <w:spacing w:val="-2"/>
        <w:w w:val="100"/>
        <w:lang w:val="en-CA" w:eastAsia="en-CA" w:bidi="en-CA"/>
      </w:rPr>
    </w:lvl>
    <w:lvl w:ilvl="2">
      <w:numFmt w:val="bullet"/>
      <w:lvlText w:val="•"/>
      <w:lvlJc w:val="left"/>
      <w:pPr>
        <w:ind w:left="2584" w:hanging="327"/>
      </w:pPr>
      <w:rPr>
        <w:rFonts w:hint="default"/>
        <w:lang w:val="en-CA" w:eastAsia="en-CA" w:bidi="en-CA"/>
      </w:rPr>
    </w:lvl>
    <w:lvl w:ilvl="3">
      <w:numFmt w:val="bullet"/>
      <w:lvlText w:val="•"/>
      <w:lvlJc w:val="left"/>
      <w:pPr>
        <w:ind w:left="3646" w:hanging="327"/>
      </w:pPr>
      <w:rPr>
        <w:rFonts w:hint="default"/>
        <w:lang w:val="en-CA" w:eastAsia="en-CA" w:bidi="en-CA"/>
      </w:rPr>
    </w:lvl>
    <w:lvl w:ilvl="4">
      <w:numFmt w:val="bullet"/>
      <w:lvlText w:val="•"/>
      <w:lvlJc w:val="left"/>
      <w:pPr>
        <w:ind w:left="4708" w:hanging="327"/>
      </w:pPr>
      <w:rPr>
        <w:rFonts w:hint="default"/>
        <w:lang w:val="en-CA" w:eastAsia="en-CA" w:bidi="en-CA"/>
      </w:rPr>
    </w:lvl>
    <w:lvl w:ilvl="5">
      <w:numFmt w:val="bullet"/>
      <w:lvlText w:val="•"/>
      <w:lvlJc w:val="left"/>
      <w:pPr>
        <w:ind w:left="5770" w:hanging="327"/>
      </w:pPr>
      <w:rPr>
        <w:rFonts w:hint="default"/>
        <w:lang w:val="en-CA" w:eastAsia="en-CA" w:bidi="en-CA"/>
      </w:rPr>
    </w:lvl>
    <w:lvl w:ilvl="6">
      <w:numFmt w:val="bullet"/>
      <w:lvlText w:val="•"/>
      <w:lvlJc w:val="left"/>
      <w:pPr>
        <w:ind w:left="6832" w:hanging="327"/>
      </w:pPr>
      <w:rPr>
        <w:rFonts w:hint="default"/>
        <w:lang w:val="en-CA" w:eastAsia="en-CA" w:bidi="en-CA"/>
      </w:rPr>
    </w:lvl>
    <w:lvl w:ilvl="7">
      <w:numFmt w:val="bullet"/>
      <w:lvlText w:val="•"/>
      <w:lvlJc w:val="left"/>
      <w:pPr>
        <w:ind w:left="7894" w:hanging="327"/>
      </w:pPr>
      <w:rPr>
        <w:rFonts w:hint="default"/>
        <w:lang w:val="en-CA" w:eastAsia="en-CA" w:bidi="en-CA"/>
      </w:rPr>
    </w:lvl>
    <w:lvl w:ilvl="8">
      <w:numFmt w:val="bullet"/>
      <w:lvlText w:val="•"/>
      <w:lvlJc w:val="left"/>
      <w:pPr>
        <w:ind w:left="8956" w:hanging="327"/>
      </w:pPr>
      <w:rPr>
        <w:rFonts w:hint="default"/>
        <w:lang w:val="en-CA" w:eastAsia="en-CA" w:bidi="en-CA"/>
      </w:rPr>
    </w:lvl>
  </w:abstractNum>
  <w:abstractNum w:abstractNumId="6" w15:restartNumberingAfterBreak="0">
    <w:nsid w:val="32D1424C"/>
    <w:multiLevelType w:val="hybridMultilevel"/>
    <w:tmpl w:val="B68CC55A"/>
    <w:lvl w:ilvl="0" w:tplc="51F2FFD8">
      <w:start w:val="1"/>
      <w:numFmt w:val="lowerLetter"/>
      <w:lvlText w:val="%1."/>
      <w:lvlJc w:val="left"/>
      <w:pPr>
        <w:ind w:left="724" w:hanging="585"/>
      </w:pPr>
      <w:rPr>
        <w:rFonts w:hint="default"/>
      </w:rPr>
    </w:lvl>
    <w:lvl w:ilvl="1" w:tplc="10090019" w:tentative="1">
      <w:start w:val="1"/>
      <w:numFmt w:val="lowerLetter"/>
      <w:lvlText w:val="%2."/>
      <w:lvlJc w:val="left"/>
      <w:pPr>
        <w:ind w:left="1219" w:hanging="360"/>
      </w:pPr>
    </w:lvl>
    <w:lvl w:ilvl="2" w:tplc="1009001B" w:tentative="1">
      <w:start w:val="1"/>
      <w:numFmt w:val="lowerRoman"/>
      <w:lvlText w:val="%3."/>
      <w:lvlJc w:val="right"/>
      <w:pPr>
        <w:ind w:left="1939" w:hanging="180"/>
      </w:pPr>
    </w:lvl>
    <w:lvl w:ilvl="3" w:tplc="1009000F" w:tentative="1">
      <w:start w:val="1"/>
      <w:numFmt w:val="decimal"/>
      <w:lvlText w:val="%4."/>
      <w:lvlJc w:val="left"/>
      <w:pPr>
        <w:ind w:left="2659" w:hanging="360"/>
      </w:pPr>
    </w:lvl>
    <w:lvl w:ilvl="4" w:tplc="10090019" w:tentative="1">
      <w:start w:val="1"/>
      <w:numFmt w:val="lowerLetter"/>
      <w:lvlText w:val="%5."/>
      <w:lvlJc w:val="left"/>
      <w:pPr>
        <w:ind w:left="3379" w:hanging="360"/>
      </w:pPr>
    </w:lvl>
    <w:lvl w:ilvl="5" w:tplc="1009001B" w:tentative="1">
      <w:start w:val="1"/>
      <w:numFmt w:val="lowerRoman"/>
      <w:lvlText w:val="%6."/>
      <w:lvlJc w:val="right"/>
      <w:pPr>
        <w:ind w:left="4099" w:hanging="180"/>
      </w:pPr>
    </w:lvl>
    <w:lvl w:ilvl="6" w:tplc="1009000F" w:tentative="1">
      <w:start w:val="1"/>
      <w:numFmt w:val="decimal"/>
      <w:lvlText w:val="%7."/>
      <w:lvlJc w:val="left"/>
      <w:pPr>
        <w:ind w:left="4819" w:hanging="360"/>
      </w:pPr>
    </w:lvl>
    <w:lvl w:ilvl="7" w:tplc="10090019" w:tentative="1">
      <w:start w:val="1"/>
      <w:numFmt w:val="lowerLetter"/>
      <w:lvlText w:val="%8."/>
      <w:lvlJc w:val="left"/>
      <w:pPr>
        <w:ind w:left="5539" w:hanging="360"/>
      </w:pPr>
    </w:lvl>
    <w:lvl w:ilvl="8" w:tplc="1009001B" w:tentative="1">
      <w:start w:val="1"/>
      <w:numFmt w:val="lowerRoman"/>
      <w:lvlText w:val="%9."/>
      <w:lvlJc w:val="right"/>
      <w:pPr>
        <w:ind w:left="6259" w:hanging="180"/>
      </w:pPr>
    </w:lvl>
  </w:abstractNum>
  <w:abstractNum w:abstractNumId="7" w15:restartNumberingAfterBreak="0">
    <w:nsid w:val="38A70F39"/>
    <w:multiLevelType w:val="multilevel"/>
    <w:tmpl w:val="C3EA6E4E"/>
    <w:lvl w:ilvl="0">
      <w:start w:val="5"/>
      <w:numFmt w:val="decimal"/>
      <w:lvlText w:val="%1"/>
      <w:lvlJc w:val="left"/>
      <w:pPr>
        <w:ind w:left="465" w:hanging="327"/>
      </w:pPr>
      <w:rPr>
        <w:rFonts w:hint="default"/>
        <w:lang w:val="en-CA" w:eastAsia="en-CA" w:bidi="en-CA"/>
      </w:rPr>
    </w:lvl>
    <w:lvl w:ilvl="1">
      <w:numFmt w:val="decimal"/>
      <w:lvlText w:val="%1.%2"/>
      <w:lvlJc w:val="left"/>
      <w:pPr>
        <w:ind w:left="465" w:hanging="327"/>
      </w:pPr>
      <w:rPr>
        <w:rFonts w:hint="default"/>
        <w:b/>
        <w:bCs/>
        <w:spacing w:val="-2"/>
        <w:w w:val="100"/>
        <w:lang w:val="en-CA" w:eastAsia="en-CA" w:bidi="en-CA"/>
      </w:rPr>
    </w:lvl>
    <w:lvl w:ilvl="2">
      <w:numFmt w:val="bullet"/>
      <w:lvlText w:val="•"/>
      <w:lvlJc w:val="left"/>
      <w:pPr>
        <w:ind w:left="2584" w:hanging="327"/>
      </w:pPr>
      <w:rPr>
        <w:rFonts w:hint="default"/>
        <w:lang w:val="en-CA" w:eastAsia="en-CA" w:bidi="en-CA"/>
      </w:rPr>
    </w:lvl>
    <w:lvl w:ilvl="3">
      <w:numFmt w:val="bullet"/>
      <w:lvlText w:val="•"/>
      <w:lvlJc w:val="left"/>
      <w:pPr>
        <w:ind w:left="3646" w:hanging="327"/>
      </w:pPr>
      <w:rPr>
        <w:rFonts w:hint="default"/>
        <w:lang w:val="en-CA" w:eastAsia="en-CA" w:bidi="en-CA"/>
      </w:rPr>
    </w:lvl>
    <w:lvl w:ilvl="4">
      <w:numFmt w:val="bullet"/>
      <w:lvlText w:val="•"/>
      <w:lvlJc w:val="left"/>
      <w:pPr>
        <w:ind w:left="4708" w:hanging="327"/>
      </w:pPr>
      <w:rPr>
        <w:rFonts w:hint="default"/>
        <w:lang w:val="en-CA" w:eastAsia="en-CA" w:bidi="en-CA"/>
      </w:rPr>
    </w:lvl>
    <w:lvl w:ilvl="5">
      <w:numFmt w:val="bullet"/>
      <w:lvlText w:val="•"/>
      <w:lvlJc w:val="left"/>
      <w:pPr>
        <w:ind w:left="5770" w:hanging="327"/>
      </w:pPr>
      <w:rPr>
        <w:rFonts w:hint="default"/>
        <w:lang w:val="en-CA" w:eastAsia="en-CA" w:bidi="en-CA"/>
      </w:rPr>
    </w:lvl>
    <w:lvl w:ilvl="6">
      <w:numFmt w:val="bullet"/>
      <w:lvlText w:val="•"/>
      <w:lvlJc w:val="left"/>
      <w:pPr>
        <w:ind w:left="6832" w:hanging="327"/>
      </w:pPr>
      <w:rPr>
        <w:rFonts w:hint="default"/>
        <w:lang w:val="en-CA" w:eastAsia="en-CA" w:bidi="en-CA"/>
      </w:rPr>
    </w:lvl>
    <w:lvl w:ilvl="7">
      <w:numFmt w:val="bullet"/>
      <w:lvlText w:val="•"/>
      <w:lvlJc w:val="left"/>
      <w:pPr>
        <w:ind w:left="7894" w:hanging="327"/>
      </w:pPr>
      <w:rPr>
        <w:rFonts w:hint="default"/>
        <w:lang w:val="en-CA" w:eastAsia="en-CA" w:bidi="en-CA"/>
      </w:rPr>
    </w:lvl>
    <w:lvl w:ilvl="8">
      <w:numFmt w:val="bullet"/>
      <w:lvlText w:val="•"/>
      <w:lvlJc w:val="left"/>
      <w:pPr>
        <w:ind w:left="8956" w:hanging="327"/>
      </w:pPr>
      <w:rPr>
        <w:rFonts w:hint="default"/>
        <w:lang w:val="en-CA" w:eastAsia="en-CA" w:bidi="en-CA"/>
      </w:rPr>
    </w:lvl>
  </w:abstractNum>
  <w:abstractNum w:abstractNumId="8" w15:restartNumberingAfterBreak="0">
    <w:nsid w:val="3CE26AA7"/>
    <w:multiLevelType w:val="multilevel"/>
    <w:tmpl w:val="3524047E"/>
    <w:lvl w:ilvl="0">
      <w:start w:val="3"/>
      <w:numFmt w:val="decimal"/>
      <w:lvlText w:val="%1"/>
      <w:lvlJc w:val="left"/>
      <w:pPr>
        <w:ind w:left="464" w:hanging="327"/>
      </w:pPr>
      <w:rPr>
        <w:rFonts w:hint="default"/>
        <w:lang w:val="en-CA" w:eastAsia="en-CA" w:bidi="en-CA"/>
      </w:rPr>
    </w:lvl>
    <w:lvl w:ilvl="1">
      <w:numFmt w:val="decimal"/>
      <w:lvlText w:val="%1.%2"/>
      <w:lvlJc w:val="left"/>
      <w:pPr>
        <w:ind w:left="464" w:hanging="327"/>
      </w:pPr>
      <w:rPr>
        <w:rFonts w:hint="default"/>
        <w:b/>
        <w:bCs/>
        <w:spacing w:val="-2"/>
        <w:w w:val="100"/>
        <w:lang w:val="en-CA" w:eastAsia="en-CA" w:bidi="en-CA"/>
      </w:rPr>
    </w:lvl>
    <w:lvl w:ilvl="2">
      <w:numFmt w:val="bullet"/>
      <w:lvlText w:val="•"/>
      <w:lvlJc w:val="left"/>
      <w:pPr>
        <w:ind w:left="2584" w:hanging="327"/>
      </w:pPr>
      <w:rPr>
        <w:rFonts w:hint="default"/>
        <w:lang w:val="en-CA" w:eastAsia="en-CA" w:bidi="en-CA"/>
      </w:rPr>
    </w:lvl>
    <w:lvl w:ilvl="3">
      <w:numFmt w:val="bullet"/>
      <w:lvlText w:val="•"/>
      <w:lvlJc w:val="left"/>
      <w:pPr>
        <w:ind w:left="3646" w:hanging="327"/>
      </w:pPr>
      <w:rPr>
        <w:rFonts w:hint="default"/>
        <w:lang w:val="en-CA" w:eastAsia="en-CA" w:bidi="en-CA"/>
      </w:rPr>
    </w:lvl>
    <w:lvl w:ilvl="4">
      <w:numFmt w:val="bullet"/>
      <w:lvlText w:val="•"/>
      <w:lvlJc w:val="left"/>
      <w:pPr>
        <w:ind w:left="4708" w:hanging="327"/>
      </w:pPr>
      <w:rPr>
        <w:rFonts w:hint="default"/>
        <w:lang w:val="en-CA" w:eastAsia="en-CA" w:bidi="en-CA"/>
      </w:rPr>
    </w:lvl>
    <w:lvl w:ilvl="5">
      <w:numFmt w:val="bullet"/>
      <w:lvlText w:val="•"/>
      <w:lvlJc w:val="left"/>
      <w:pPr>
        <w:ind w:left="5770" w:hanging="327"/>
      </w:pPr>
      <w:rPr>
        <w:rFonts w:hint="default"/>
        <w:lang w:val="en-CA" w:eastAsia="en-CA" w:bidi="en-CA"/>
      </w:rPr>
    </w:lvl>
    <w:lvl w:ilvl="6">
      <w:numFmt w:val="bullet"/>
      <w:lvlText w:val="•"/>
      <w:lvlJc w:val="left"/>
      <w:pPr>
        <w:ind w:left="6832" w:hanging="327"/>
      </w:pPr>
      <w:rPr>
        <w:rFonts w:hint="default"/>
        <w:lang w:val="en-CA" w:eastAsia="en-CA" w:bidi="en-CA"/>
      </w:rPr>
    </w:lvl>
    <w:lvl w:ilvl="7">
      <w:numFmt w:val="bullet"/>
      <w:lvlText w:val="•"/>
      <w:lvlJc w:val="left"/>
      <w:pPr>
        <w:ind w:left="7894" w:hanging="327"/>
      </w:pPr>
      <w:rPr>
        <w:rFonts w:hint="default"/>
        <w:lang w:val="en-CA" w:eastAsia="en-CA" w:bidi="en-CA"/>
      </w:rPr>
    </w:lvl>
    <w:lvl w:ilvl="8">
      <w:numFmt w:val="bullet"/>
      <w:lvlText w:val="•"/>
      <w:lvlJc w:val="left"/>
      <w:pPr>
        <w:ind w:left="8956" w:hanging="327"/>
      </w:pPr>
      <w:rPr>
        <w:rFonts w:hint="default"/>
        <w:lang w:val="en-CA" w:eastAsia="en-CA" w:bidi="en-CA"/>
      </w:rPr>
    </w:lvl>
  </w:abstractNum>
  <w:abstractNum w:abstractNumId="9" w15:restartNumberingAfterBreak="0">
    <w:nsid w:val="45657308"/>
    <w:multiLevelType w:val="hybridMultilevel"/>
    <w:tmpl w:val="8BF475E8"/>
    <w:lvl w:ilvl="0" w:tplc="C0F06D6E">
      <w:start w:val="10"/>
      <w:numFmt w:val="decimal"/>
      <w:lvlText w:val="%1."/>
      <w:lvlJc w:val="left"/>
      <w:pPr>
        <w:ind w:left="499" w:hanging="360"/>
      </w:pPr>
      <w:rPr>
        <w:rFonts w:hint="default"/>
      </w:rPr>
    </w:lvl>
    <w:lvl w:ilvl="1" w:tplc="10090019" w:tentative="1">
      <w:start w:val="1"/>
      <w:numFmt w:val="lowerLetter"/>
      <w:lvlText w:val="%2."/>
      <w:lvlJc w:val="left"/>
      <w:pPr>
        <w:ind w:left="1219" w:hanging="360"/>
      </w:pPr>
    </w:lvl>
    <w:lvl w:ilvl="2" w:tplc="1009001B" w:tentative="1">
      <w:start w:val="1"/>
      <w:numFmt w:val="lowerRoman"/>
      <w:lvlText w:val="%3."/>
      <w:lvlJc w:val="right"/>
      <w:pPr>
        <w:ind w:left="1939" w:hanging="180"/>
      </w:pPr>
    </w:lvl>
    <w:lvl w:ilvl="3" w:tplc="1009000F" w:tentative="1">
      <w:start w:val="1"/>
      <w:numFmt w:val="decimal"/>
      <w:lvlText w:val="%4."/>
      <w:lvlJc w:val="left"/>
      <w:pPr>
        <w:ind w:left="2659" w:hanging="360"/>
      </w:pPr>
    </w:lvl>
    <w:lvl w:ilvl="4" w:tplc="10090019" w:tentative="1">
      <w:start w:val="1"/>
      <w:numFmt w:val="lowerLetter"/>
      <w:lvlText w:val="%5."/>
      <w:lvlJc w:val="left"/>
      <w:pPr>
        <w:ind w:left="3379" w:hanging="360"/>
      </w:pPr>
    </w:lvl>
    <w:lvl w:ilvl="5" w:tplc="1009001B" w:tentative="1">
      <w:start w:val="1"/>
      <w:numFmt w:val="lowerRoman"/>
      <w:lvlText w:val="%6."/>
      <w:lvlJc w:val="right"/>
      <w:pPr>
        <w:ind w:left="4099" w:hanging="180"/>
      </w:pPr>
    </w:lvl>
    <w:lvl w:ilvl="6" w:tplc="1009000F" w:tentative="1">
      <w:start w:val="1"/>
      <w:numFmt w:val="decimal"/>
      <w:lvlText w:val="%7."/>
      <w:lvlJc w:val="left"/>
      <w:pPr>
        <w:ind w:left="4819" w:hanging="360"/>
      </w:pPr>
    </w:lvl>
    <w:lvl w:ilvl="7" w:tplc="10090019" w:tentative="1">
      <w:start w:val="1"/>
      <w:numFmt w:val="lowerLetter"/>
      <w:lvlText w:val="%8."/>
      <w:lvlJc w:val="left"/>
      <w:pPr>
        <w:ind w:left="5539" w:hanging="360"/>
      </w:pPr>
    </w:lvl>
    <w:lvl w:ilvl="8" w:tplc="1009001B" w:tentative="1">
      <w:start w:val="1"/>
      <w:numFmt w:val="lowerRoman"/>
      <w:lvlText w:val="%9."/>
      <w:lvlJc w:val="right"/>
      <w:pPr>
        <w:ind w:left="6259" w:hanging="180"/>
      </w:pPr>
    </w:lvl>
  </w:abstractNum>
  <w:abstractNum w:abstractNumId="10" w15:restartNumberingAfterBreak="0">
    <w:nsid w:val="5309493E"/>
    <w:multiLevelType w:val="hybridMultilevel"/>
    <w:tmpl w:val="4B4ABE2C"/>
    <w:lvl w:ilvl="0" w:tplc="10090001">
      <w:start w:val="1"/>
      <w:numFmt w:val="bullet"/>
      <w:lvlText w:val=""/>
      <w:lvlJc w:val="left"/>
      <w:pPr>
        <w:ind w:left="825" w:hanging="360"/>
      </w:pPr>
      <w:rPr>
        <w:rFonts w:ascii="Symbol" w:hAnsi="Symbol" w:hint="default"/>
      </w:rPr>
    </w:lvl>
    <w:lvl w:ilvl="1" w:tplc="10090003" w:tentative="1">
      <w:start w:val="1"/>
      <w:numFmt w:val="bullet"/>
      <w:lvlText w:val="o"/>
      <w:lvlJc w:val="left"/>
      <w:pPr>
        <w:ind w:left="1545" w:hanging="360"/>
      </w:pPr>
      <w:rPr>
        <w:rFonts w:ascii="Courier New" w:hAnsi="Courier New" w:cs="Courier New" w:hint="default"/>
      </w:rPr>
    </w:lvl>
    <w:lvl w:ilvl="2" w:tplc="10090005" w:tentative="1">
      <w:start w:val="1"/>
      <w:numFmt w:val="bullet"/>
      <w:lvlText w:val=""/>
      <w:lvlJc w:val="left"/>
      <w:pPr>
        <w:ind w:left="2265" w:hanging="360"/>
      </w:pPr>
      <w:rPr>
        <w:rFonts w:ascii="Wingdings" w:hAnsi="Wingdings" w:hint="default"/>
      </w:rPr>
    </w:lvl>
    <w:lvl w:ilvl="3" w:tplc="10090001" w:tentative="1">
      <w:start w:val="1"/>
      <w:numFmt w:val="bullet"/>
      <w:lvlText w:val=""/>
      <w:lvlJc w:val="left"/>
      <w:pPr>
        <w:ind w:left="2985" w:hanging="360"/>
      </w:pPr>
      <w:rPr>
        <w:rFonts w:ascii="Symbol" w:hAnsi="Symbol" w:hint="default"/>
      </w:rPr>
    </w:lvl>
    <w:lvl w:ilvl="4" w:tplc="10090003" w:tentative="1">
      <w:start w:val="1"/>
      <w:numFmt w:val="bullet"/>
      <w:lvlText w:val="o"/>
      <w:lvlJc w:val="left"/>
      <w:pPr>
        <w:ind w:left="3705" w:hanging="360"/>
      </w:pPr>
      <w:rPr>
        <w:rFonts w:ascii="Courier New" w:hAnsi="Courier New" w:cs="Courier New" w:hint="default"/>
      </w:rPr>
    </w:lvl>
    <w:lvl w:ilvl="5" w:tplc="10090005" w:tentative="1">
      <w:start w:val="1"/>
      <w:numFmt w:val="bullet"/>
      <w:lvlText w:val=""/>
      <w:lvlJc w:val="left"/>
      <w:pPr>
        <w:ind w:left="4425" w:hanging="360"/>
      </w:pPr>
      <w:rPr>
        <w:rFonts w:ascii="Wingdings" w:hAnsi="Wingdings" w:hint="default"/>
      </w:rPr>
    </w:lvl>
    <w:lvl w:ilvl="6" w:tplc="10090001" w:tentative="1">
      <w:start w:val="1"/>
      <w:numFmt w:val="bullet"/>
      <w:lvlText w:val=""/>
      <w:lvlJc w:val="left"/>
      <w:pPr>
        <w:ind w:left="5145" w:hanging="360"/>
      </w:pPr>
      <w:rPr>
        <w:rFonts w:ascii="Symbol" w:hAnsi="Symbol" w:hint="default"/>
      </w:rPr>
    </w:lvl>
    <w:lvl w:ilvl="7" w:tplc="10090003" w:tentative="1">
      <w:start w:val="1"/>
      <w:numFmt w:val="bullet"/>
      <w:lvlText w:val="o"/>
      <w:lvlJc w:val="left"/>
      <w:pPr>
        <w:ind w:left="5865" w:hanging="360"/>
      </w:pPr>
      <w:rPr>
        <w:rFonts w:ascii="Courier New" w:hAnsi="Courier New" w:cs="Courier New" w:hint="default"/>
      </w:rPr>
    </w:lvl>
    <w:lvl w:ilvl="8" w:tplc="10090005" w:tentative="1">
      <w:start w:val="1"/>
      <w:numFmt w:val="bullet"/>
      <w:lvlText w:val=""/>
      <w:lvlJc w:val="left"/>
      <w:pPr>
        <w:ind w:left="6585" w:hanging="360"/>
      </w:pPr>
      <w:rPr>
        <w:rFonts w:ascii="Wingdings" w:hAnsi="Wingdings" w:hint="default"/>
      </w:rPr>
    </w:lvl>
  </w:abstractNum>
  <w:abstractNum w:abstractNumId="11" w15:restartNumberingAfterBreak="0">
    <w:nsid w:val="55EF04D7"/>
    <w:multiLevelType w:val="hybridMultilevel"/>
    <w:tmpl w:val="B622B020"/>
    <w:lvl w:ilvl="0" w:tplc="10090019">
      <w:start w:val="1"/>
      <w:numFmt w:val="lowerLetter"/>
      <w:lvlText w:val="%1."/>
      <w:lvlJc w:val="left"/>
      <w:pPr>
        <w:ind w:left="859" w:hanging="360"/>
      </w:pPr>
    </w:lvl>
    <w:lvl w:ilvl="1" w:tplc="10090019" w:tentative="1">
      <w:start w:val="1"/>
      <w:numFmt w:val="lowerLetter"/>
      <w:lvlText w:val="%2."/>
      <w:lvlJc w:val="left"/>
      <w:pPr>
        <w:ind w:left="1579" w:hanging="360"/>
      </w:pPr>
    </w:lvl>
    <w:lvl w:ilvl="2" w:tplc="1009001B" w:tentative="1">
      <w:start w:val="1"/>
      <w:numFmt w:val="lowerRoman"/>
      <w:lvlText w:val="%3."/>
      <w:lvlJc w:val="right"/>
      <w:pPr>
        <w:ind w:left="2299" w:hanging="180"/>
      </w:pPr>
    </w:lvl>
    <w:lvl w:ilvl="3" w:tplc="1009000F" w:tentative="1">
      <w:start w:val="1"/>
      <w:numFmt w:val="decimal"/>
      <w:lvlText w:val="%4."/>
      <w:lvlJc w:val="left"/>
      <w:pPr>
        <w:ind w:left="3019" w:hanging="360"/>
      </w:pPr>
    </w:lvl>
    <w:lvl w:ilvl="4" w:tplc="10090019" w:tentative="1">
      <w:start w:val="1"/>
      <w:numFmt w:val="lowerLetter"/>
      <w:lvlText w:val="%5."/>
      <w:lvlJc w:val="left"/>
      <w:pPr>
        <w:ind w:left="3739" w:hanging="360"/>
      </w:pPr>
    </w:lvl>
    <w:lvl w:ilvl="5" w:tplc="1009001B" w:tentative="1">
      <w:start w:val="1"/>
      <w:numFmt w:val="lowerRoman"/>
      <w:lvlText w:val="%6."/>
      <w:lvlJc w:val="right"/>
      <w:pPr>
        <w:ind w:left="4459" w:hanging="180"/>
      </w:pPr>
    </w:lvl>
    <w:lvl w:ilvl="6" w:tplc="1009000F" w:tentative="1">
      <w:start w:val="1"/>
      <w:numFmt w:val="decimal"/>
      <w:lvlText w:val="%7."/>
      <w:lvlJc w:val="left"/>
      <w:pPr>
        <w:ind w:left="5179" w:hanging="360"/>
      </w:pPr>
    </w:lvl>
    <w:lvl w:ilvl="7" w:tplc="10090019" w:tentative="1">
      <w:start w:val="1"/>
      <w:numFmt w:val="lowerLetter"/>
      <w:lvlText w:val="%8."/>
      <w:lvlJc w:val="left"/>
      <w:pPr>
        <w:ind w:left="5899" w:hanging="360"/>
      </w:pPr>
    </w:lvl>
    <w:lvl w:ilvl="8" w:tplc="1009001B" w:tentative="1">
      <w:start w:val="1"/>
      <w:numFmt w:val="lowerRoman"/>
      <w:lvlText w:val="%9."/>
      <w:lvlJc w:val="right"/>
      <w:pPr>
        <w:ind w:left="6619" w:hanging="180"/>
      </w:pPr>
    </w:lvl>
  </w:abstractNum>
  <w:abstractNum w:abstractNumId="12" w15:restartNumberingAfterBreak="0">
    <w:nsid w:val="7721779E"/>
    <w:multiLevelType w:val="multilevel"/>
    <w:tmpl w:val="BC360454"/>
    <w:lvl w:ilvl="0">
      <w:start w:val="9"/>
      <w:numFmt w:val="decimal"/>
      <w:lvlText w:val="%1"/>
      <w:lvlJc w:val="left"/>
      <w:pPr>
        <w:ind w:left="514" w:hanging="375"/>
      </w:pPr>
      <w:rPr>
        <w:rFonts w:hint="default"/>
        <w:lang w:val="en-CA" w:eastAsia="en-CA" w:bidi="en-CA"/>
      </w:rPr>
    </w:lvl>
    <w:lvl w:ilvl="1">
      <w:numFmt w:val="decimal"/>
      <w:lvlText w:val="%1.%2"/>
      <w:lvlJc w:val="left"/>
      <w:pPr>
        <w:ind w:left="514" w:hanging="375"/>
      </w:pPr>
      <w:rPr>
        <w:rFonts w:ascii="Calibri" w:eastAsia="Calibri" w:hAnsi="Calibri" w:cs="Calibri" w:hint="default"/>
        <w:b/>
        <w:bCs/>
        <w:spacing w:val="-2"/>
        <w:w w:val="100"/>
        <w:sz w:val="22"/>
        <w:szCs w:val="22"/>
        <w:lang w:val="en-CA" w:eastAsia="en-CA" w:bidi="en-CA"/>
      </w:rPr>
    </w:lvl>
    <w:lvl w:ilvl="2">
      <w:numFmt w:val="bullet"/>
      <w:lvlText w:val=""/>
      <w:lvlJc w:val="left"/>
      <w:pPr>
        <w:ind w:left="860" w:hanging="361"/>
      </w:pPr>
      <w:rPr>
        <w:rFonts w:ascii="Symbol" w:eastAsia="Symbol" w:hAnsi="Symbol" w:cs="Symbol" w:hint="default"/>
        <w:w w:val="100"/>
        <w:sz w:val="22"/>
        <w:szCs w:val="22"/>
        <w:lang w:val="en-CA" w:eastAsia="en-CA" w:bidi="en-CA"/>
      </w:rPr>
    </w:lvl>
    <w:lvl w:ilvl="3">
      <w:numFmt w:val="bullet"/>
      <w:lvlText w:val="•"/>
      <w:lvlJc w:val="left"/>
      <w:pPr>
        <w:ind w:left="3131" w:hanging="361"/>
      </w:pPr>
      <w:rPr>
        <w:rFonts w:hint="default"/>
        <w:lang w:val="en-CA" w:eastAsia="en-CA" w:bidi="en-CA"/>
      </w:rPr>
    </w:lvl>
    <w:lvl w:ilvl="4">
      <w:numFmt w:val="bullet"/>
      <w:lvlText w:val="•"/>
      <w:lvlJc w:val="left"/>
      <w:pPr>
        <w:ind w:left="4266" w:hanging="361"/>
      </w:pPr>
      <w:rPr>
        <w:rFonts w:hint="default"/>
        <w:lang w:val="en-CA" w:eastAsia="en-CA" w:bidi="en-CA"/>
      </w:rPr>
    </w:lvl>
    <w:lvl w:ilvl="5">
      <w:numFmt w:val="bullet"/>
      <w:lvlText w:val="•"/>
      <w:lvlJc w:val="left"/>
      <w:pPr>
        <w:ind w:left="5402" w:hanging="361"/>
      </w:pPr>
      <w:rPr>
        <w:rFonts w:hint="default"/>
        <w:lang w:val="en-CA" w:eastAsia="en-CA" w:bidi="en-CA"/>
      </w:rPr>
    </w:lvl>
    <w:lvl w:ilvl="6">
      <w:numFmt w:val="bullet"/>
      <w:lvlText w:val="•"/>
      <w:lvlJc w:val="left"/>
      <w:pPr>
        <w:ind w:left="6537" w:hanging="361"/>
      </w:pPr>
      <w:rPr>
        <w:rFonts w:hint="default"/>
        <w:lang w:val="en-CA" w:eastAsia="en-CA" w:bidi="en-CA"/>
      </w:rPr>
    </w:lvl>
    <w:lvl w:ilvl="7">
      <w:numFmt w:val="bullet"/>
      <w:lvlText w:val="•"/>
      <w:lvlJc w:val="left"/>
      <w:pPr>
        <w:ind w:left="7673" w:hanging="361"/>
      </w:pPr>
      <w:rPr>
        <w:rFonts w:hint="default"/>
        <w:lang w:val="en-CA" w:eastAsia="en-CA" w:bidi="en-CA"/>
      </w:rPr>
    </w:lvl>
    <w:lvl w:ilvl="8">
      <w:numFmt w:val="bullet"/>
      <w:lvlText w:val="•"/>
      <w:lvlJc w:val="left"/>
      <w:pPr>
        <w:ind w:left="8808" w:hanging="361"/>
      </w:pPr>
      <w:rPr>
        <w:rFonts w:hint="default"/>
        <w:lang w:val="en-CA" w:eastAsia="en-CA" w:bidi="en-CA"/>
      </w:rPr>
    </w:lvl>
  </w:abstractNum>
  <w:abstractNum w:abstractNumId="13" w15:restartNumberingAfterBreak="0">
    <w:nsid w:val="77426A4E"/>
    <w:multiLevelType w:val="multilevel"/>
    <w:tmpl w:val="32123D9A"/>
    <w:lvl w:ilvl="0">
      <w:start w:val="7"/>
      <w:numFmt w:val="decimal"/>
      <w:lvlText w:val="%1"/>
      <w:lvlJc w:val="left"/>
      <w:pPr>
        <w:ind w:left="465" w:hanging="327"/>
      </w:pPr>
      <w:rPr>
        <w:rFonts w:hint="default"/>
        <w:lang w:val="en-CA" w:eastAsia="en-CA" w:bidi="en-CA"/>
      </w:rPr>
    </w:lvl>
    <w:lvl w:ilvl="1">
      <w:numFmt w:val="decimal"/>
      <w:lvlText w:val="%1.%2"/>
      <w:lvlJc w:val="left"/>
      <w:pPr>
        <w:ind w:left="465" w:hanging="327"/>
      </w:pPr>
      <w:rPr>
        <w:rFonts w:hint="default"/>
        <w:b/>
        <w:bCs/>
        <w:spacing w:val="-2"/>
        <w:w w:val="100"/>
        <w:lang w:val="en-CA" w:eastAsia="en-CA" w:bidi="en-CA"/>
      </w:rPr>
    </w:lvl>
    <w:lvl w:ilvl="2">
      <w:numFmt w:val="bullet"/>
      <w:lvlText w:val="•"/>
      <w:lvlJc w:val="left"/>
      <w:pPr>
        <w:ind w:left="2584" w:hanging="327"/>
      </w:pPr>
      <w:rPr>
        <w:rFonts w:hint="default"/>
        <w:lang w:val="en-CA" w:eastAsia="en-CA" w:bidi="en-CA"/>
      </w:rPr>
    </w:lvl>
    <w:lvl w:ilvl="3">
      <w:numFmt w:val="bullet"/>
      <w:lvlText w:val="•"/>
      <w:lvlJc w:val="left"/>
      <w:pPr>
        <w:ind w:left="3646" w:hanging="327"/>
      </w:pPr>
      <w:rPr>
        <w:rFonts w:hint="default"/>
        <w:lang w:val="en-CA" w:eastAsia="en-CA" w:bidi="en-CA"/>
      </w:rPr>
    </w:lvl>
    <w:lvl w:ilvl="4">
      <w:numFmt w:val="bullet"/>
      <w:lvlText w:val="•"/>
      <w:lvlJc w:val="left"/>
      <w:pPr>
        <w:ind w:left="4708" w:hanging="327"/>
      </w:pPr>
      <w:rPr>
        <w:rFonts w:hint="default"/>
        <w:lang w:val="en-CA" w:eastAsia="en-CA" w:bidi="en-CA"/>
      </w:rPr>
    </w:lvl>
    <w:lvl w:ilvl="5">
      <w:numFmt w:val="bullet"/>
      <w:lvlText w:val="•"/>
      <w:lvlJc w:val="left"/>
      <w:pPr>
        <w:ind w:left="5770" w:hanging="327"/>
      </w:pPr>
      <w:rPr>
        <w:rFonts w:hint="default"/>
        <w:lang w:val="en-CA" w:eastAsia="en-CA" w:bidi="en-CA"/>
      </w:rPr>
    </w:lvl>
    <w:lvl w:ilvl="6">
      <w:numFmt w:val="bullet"/>
      <w:lvlText w:val="•"/>
      <w:lvlJc w:val="left"/>
      <w:pPr>
        <w:ind w:left="6832" w:hanging="327"/>
      </w:pPr>
      <w:rPr>
        <w:rFonts w:hint="default"/>
        <w:lang w:val="en-CA" w:eastAsia="en-CA" w:bidi="en-CA"/>
      </w:rPr>
    </w:lvl>
    <w:lvl w:ilvl="7">
      <w:numFmt w:val="bullet"/>
      <w:lvlText w:val="•"/>
      <w:lvlJc w:val="left"/>
      <w:pPr>
        <w:ind w:left="7894" w:hanging="327"/>
      </w:pPr>
      <w:rPr>
        <w:rFonts w:hint="default"/>
        <w:lang w:val="en-CA" w:eastAsia="en-CA" w:bidi="en-CA"/>
      </w:rPr>
    </w:lvl>
    <w:lvl w:ilvl="8">
      <w:numFmt w:val="bullet"/>
      <w:lvlText w:val="•"/>
      <w:lvlJc w:val="left"/>
      <w:pPr>
        <w:ind w:left="8956" w:hanging="327"/>
      </w:pPr>
      <w:rPr>
        <w:rFonts w:hint="default"/>
        <w:lang w:val="en-CA" w:eastAsia="en-CA" w:bidi="en-CA"/>
      </w:rPr>
    </w:lvl>
  </w:abstractNum>
  <w:abstractNum w:abstractNumId="14" w15:restartNumberingAfterBreak="0">
    <w:nsid w:val="7B07158E"/>
    <w:multiLevelType w:val="multilevel"/>
    <w:tmpl w:val="48CC0A08"/>
    <w:lvl w:ilvl="0">
      <w:start w:val="6"/>
      <w:numFmt w:val="decimal"/>
      <w:lvlText w:val="%1"/>
      <w:lvlJc w:val="left"/>
      <w:pPr>
        <w:ind w:left="513" w:hanging="375"/>
      </w:pPr>
      <w:rPr>
        <w:rFonts w:hint="default"/>
        <w:lang w:val="en-CA" w:eastAsia="en-CA" w:bidi="en-CA"/>
      </w:rPr>
    </w:lvl>
    <w:lvl w:ilvl="1">
      <w:numFmt w:val="decimal"/>
      <w:lvlText w:val="%1.%2"/>
      <w:lvlJc w:val="left"/>
      <w:pPr>
        <w:ind w:left="513" w:hanging="375"/>
      </w:pPr>
      <w:rPr>
        <w:rFonts w:hint="default"/>
        <w:b/>
        <w:bCs/>
        <w:spacing w:val="-2"/>
        <w:w w:val="100"/>
        <w:lang w:val="en-CA" w:eastAsia="en-CA" w:bidi="en-CA"/>
      </w:rPr>
    </w:lvl>
    <w:lvl w:ilvl="2">
      <w:numFmt w:val="bullet"/>
      <w:lvlText w:val="•"/>
      <w:lvlJc w:val="left"/>
      <w:pPr>
        <w:ind w:left="2632" w:hanging="375"/>
      </w:pPr>
      <w:rPr>
        <w:rFonts w:hint="default"/>
        <w:lang w:val="en-CA" w:eastAsia="en-CA" w:bidi="en-CA"/>
      </w:rPr>
    </w:lvl>
    <w:lvl w:ilvl="3">
      <w:numFmt w:val="bullet"/>
      <w:lvlText w:val="•"/>
      <w:lvlJc w:val="left"/>
      <w:pPr>
        <w:ind w:left="3688" w:hanging="375"/>
      </w:pPr>
      <w:rPr>
        <w:rFonts w:hint="default"/>
        <w:lang w:val="en-CA" w:eastAsia="en-CA" w:bidi="en-CA"/>
      </w:rPr>
    </w:lvl>
    <w:lvl w:ilvl="4">
      <w:numFmt w:val="bullet"/>
      <w:lvlText w:val="•"/>
      <w:lvlJc w:val="left"/>
      <w:pPr>
        <w:ind w:left="4744" w:hanging="375"/>
      </w:pPr>
      <w:rPr>
        <w:rFonts w:hint="default"/>
        <w:lang w:val="en-CA" w:eastAsia="en-CA" w:bidi="en-CA"/>
      </w:rPr>
    </w:lvl>
    <w:lvl w:ilvl="5">
      <w:numFmt w:val="bullet"/>
      <w:lvlText w:val="•"/>
      <w:lvlJc w:val="left"/>
      <w:pPr>
        <w:ind w:left="5800" w:hanging="375"/>
      </w:pPr>
      <w:rPr>
        <w:rFonts w:hint="default"/>
        <w:lang w:val="en-CA" w:eastAsia="en-CA" w:bidi="en-CA"/>
      </w:rPr>
    </w:lvl>
    <w:lvl w:ilvl="6">
      <w:numFmt w:val="bullet"/>
      <w:lvlText w:val="•"/>
      <w:lvlJc w:val="left"/>
      <w:pPr>
        <w:ind w:left="6856" w:hanging="375"/>
      </w:pPr>
      <w:rPr>
        <w:rFonts w:hint="default"/>
        <w:lang w:val="en-CA" w:eastAsia="en-CA" w:bidi="en-CA"/>
      </w:rPr>
    </w:lvl>
    <w:lvl w:ilvl="7">
      <w:numFmt w:val="bullet"/>
      <w:lvlText w:val="•"/>
      <w:lvlJc w:val="left"/>
      <w:pPr>
        <w:ind w:left="7912" w:hanging="375"/>
      </w:pPr>
      <w:rPr>
        <w:rFonts w:hint="default"/>
        <w:lang w:val="en-CA" w:eastAsia="en-CA" w:bidi="en-CA"/>
      </w:rPr>
    </w:lvl>
    <w:lvl w:ilvl="8">
      <w:numFmt w:val="bullet"/>
      <w:lvlText w:val="•"/>
      <w:lvlJc w:val="left"/>
      <w:pPr>
        <w:ind w:left="8968" w:hanging="375"/>
      </w:pPr>
      <w:rPr>
        <w:rFonts w:hint="default"/>
        <w:lang w:val="en-CA" w:eastAsia="en-CA" w:bidi="en-CA"/>
      </w:rPr>
    </w:lvl>
  </w:abstractNum>
  <w:num w:numId="1" w16cid:durableId="1502623846">
    <w:abstractNumId w:val="12"/>
  </w:num>
  <w:num w:numId="2" w16cid:durableId="1532958820">
    <w:abstractNumId w:val="4"/>
  </w:num>
  <w:num w:numId="3" w16cid:durableId="1416316025">
    <w:abstractNumId w:val="5"/>
  </w:num>
  <w:num w:numId="4" w16cid:durableId="1698967385">
    <w:abstractNumId w:val="14"/>
  </w:num>
  <w:num w:numId="5" w16cid:durableId="326792188">
    <w:abstractNumId w:val="7"/>
  </w:num>
  <w:num w:numId="6" w16cid:durableId="94786334">
    <w:abstractNumId w:val="0"/>
  </w:num>
  <w:num w:numId="7" w16cid:durableId="667057051">
    <w:abstractNumId w:val="8"/>
  </w:num>
  <w:num w:numId="8" w16cid:durableId="1093164370">
    <w:abstractNumId w:val="1"/>
  </w:num>
  <w:num w:numId="9" w16cid:durableId="937521060">
    <w:abstractNumId w:val="3"/>
  </w:num>
  <w:num w:numId="10" w16cid:durableId="85928088">
    <w:abstractNumId w:val="13"/>
  </w:num>
  <w:num w:numId="11" w16cid:durableId="1706370228">
    <w:abstractNumId w:val="11"/>
  </w:num>
  <w:num w:numId="12" w16cid:durableId="387648188">
    <w:abstractNumId w:val="6"/>
  </w:num>
  <w:num w:numId="13" w16cid:durableId="688335812">
    <w:abstractNumId w:val="9"/>
  </w:num>
  <w:num w:numId="14" w16cid:durableId="898129657">
    <w:abstractNumId w:val="2"/>
  </w:num>
  <w:num w:numId="15" w16cid:durableId="12890444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470"/>
    <w:rsid w:val="00026109"/>
    <w:rsid w:val="00030C46"/>
    <w:rsid w:val="00086DC6"/>
    <w:rsid w:val="00114127"/>
    <w:rsid w:val="001155D6"/>
    <w:rsid w:val="00296E5B"/>
    <w:rsid w:val="002B5470"/>
    <w:rsid w:val="002E4CF4"/>
    <w:rsid w:val="003367B8"/>
    <w:rsid w:val="003517FD"/>
    <w:rsid w:val="003B116A"/>
    <w:rsid w:val="003B452C"/>
    <w:rsid w:val="003E486F"/>
    <w:rsid w:val="00496CD9"/>
    <w:rsid w:val="004C5C19"/>
    <w:rsid w:val="00512B81"/>
    <w:rsid w:val="005C6294"/>
    <w:rsid w:val="005D49A5"/>
    <w:rsid w:val="00604F97"/>
    <w:rsid w:val="00605FF8"/>
    <w:rsid w:val="00653454"/>
    <w:rsid w:val="00661266"/>
    <w:rsid w:val="00706FE6"/>
    <w:rsid w:val="00724B63"/>
    <w:rsid w:val="00761BF2"/>
    <w:rsid w:val="00776FDF"/>
    <w:rsid w:val="0079022F"/>
    <w:rsid w:val="007F5019"/>
    <w:rsid w:val="00802BBE"/>
    <w:rsid w:val="00804234"/>
    <w:rsid w:val="00843D30"/>
    <w:rsid w:val="00867B18"/>
    <w:rsid w:val="00901BF8"/>
    <w:rsid w:val="00930BFB"/>
    <w:rsid w:val="009532CB"/>
    <w:rsid w:val="00955743"/>
    <w:rsid w:val="00977FCC"/>
    <w:rsid w:val="00990D79"/>
    <w:rsid w:val="00991D74"/>
    <w:rsid w:val="009B034E"/>
    <w:rsid w:val="009F7854"/>
    <w:rsid w:val="00A36EFF"/>
    <w:rsid w:val="00A701EF"/>
    <w:rsid w:val="00A91B58"/>
    <w:rsid w:val="00AB0991"/>
    <w:rsid w:val="00B64B3A"/>
    <w:rsid w:val="00BB72A6"/>
    <w:rsid w:val="00BF4823"/>
    <w:rsid w:val="00C93594"/>
    <w:rsid w:val="00CF7BAD"/>
    <w:rsid w:val="00D61461"/>
    <w:rsid w:val="00D94894"/>
    <w:rsid w:val="00DC6C6F"/>
    <w:rsid w:val="00E0542A"/>
    <w:rsid w:val="00E97511"/>
    <w:rsid w:val="00EA72B3"/>
    <w:rsid w:val="00EB194D"/>
    <w:rsid w:val="00EB54E9"/>
    <w:rsid w:val="00EE186A"/>
    <w:rsid w:val="00EF0201"/>
    <w:rsid w:val="00F70756"/>
    <w:rsid w:val="00FF4650"/>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424B6"/>
  <w15:docId w15:val="{0576D4EE-8C84-4519-8E75-2BA34AEB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CA" w:eastAsia="en-CA" w:bidi="en-CA"/>
    </w:rPr>
  </w:style>
  <w:style w:type="paragraph" w:styleId="Heading1">
    <w:name w:val="heading 1"/>
    <w:basedOn w:val="Normal"/>
    <w:uiPriority w:val="1"/>
    <w:qFormat/>
    <w:pPr>
      <w:ind w:left="514" w:hanging="327"/>
      <w:outlineLvl w:val="0"/>
    </w:pPr>
    <w:rPr>
      <w:b/>
      <w:bCs/>
    </w:rPr>
  </w:style>
  <w:style w:type="paragraph" w:styleId="Heading3">
    <w:name w:val="heading 3"/>
    <w:basedOn w:val="Normal"/>
    <w:next w:val="Normal"/>
    <w:link w:val="Heading3Char"/>
    <w:uiPriority w:val="9"/>
    <w:semiHidden/>
    <w:unhideWhenUsed/>
    <w:qFormat/>
    <w:rsid w:val="00761BF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9"/>
    </w:pPr>
  </w:style>
  <w:style w:type="paragraph" w:styleId="ListParagraph">
    <w:name w:val="List Paragraph"/>
    <w:basedOn w:val="Normal"/>
    <w:uiPriority w:val="1"/>
    <w:qFormat/>
    <w:pPr>
      <w:ind w:left="8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367B8"/>
    <w:rPr>
      <w:sz w:val="16"/>
      <w:szCs w:val="16"/>
    </w:rPr>
  </w:style>
  <w:style w:type="paragraph" w:styleId="CommentText">
    <w:name w:val="annotation text"/>
    <w:basedOn w:val="Normal"/>
    <w:link w:val="CommentTextChar"/>
    <w:uiPriority w:val="99"/>
    <w:semiHidden/>
    <w:unhideWhenUsed/>
    <w:rsid w:val="003367B8"/>
    <w:rPr>
      <w:sz w:val="20"/>
      <w:szCs w:val="20"/>
    </w:rPr>
  </w:style>
  <w:style w:type="character" w:customStyle="1" w:styleId="CommentTextChar">
    <w:name w:val="Comment Text Char"/>
    <w:basedOn w:val="DefaultParagraphFont"/>
    <w:link w:val="CommentText"/>
    <w:uiPriority w:val="99"/>
    <w:semiHidden/>
    <w:rsid w:val="003367B8"/>
    <w:rPr>
      <w:rFonts w:ascii="Calibri" w:eastAsia="Calibri" w:hAnsi="Calibri" w:cs="Calibri"/>
      <w:sz w:val="20"/>
      <w:szCs w:val="20"/>
      <w:lang w:val="en-CA" w:eastAsia="en-CA" w:bidi="en-CA"/>
    </w:rPr>
  </w:style>
  <w:style w:type="paragraph" w:styleId="CommentSubject">
    <w:name w:val="annotation subject"/>
    <w:basedOn w:val="CommentText"/>
    <w:next w:val="CommentText"/>
    <w:link w:val="CommentSubjectChar"/>
    <w:uiPriority w:val="99"/>
    <w:semiHidden/>
    <w:unhideWhenUsed/>
    <w:rsid w:val="003367B8"/>
    <w:rPr>
      <w:b/>
      <w:bCs/>
    </w:rPr>
  </w:style>
  <w:style w:type="character" w:customStyle="1" w:styleId="CommentSubjectChar">
    <w:name w:val="Comment Subject Char"/>
    <w:basedOn w:val="CommentTextChar"/>
    <w:link w:val="CommentSubject"/>
    <w:uiPriority w:val="99"/>
    <w:semiHidden/>
    <w:rsid w:val="003367B8"/>
    <w:rPr>
      <w:rFonts w:ascii="Calibri" w:eastAsia="Calibri" w:hAnsi="Calibri" w:cs="Calibri"/>
      <w:b/>
      <w:bCs/>
      <w:sz w:val="20"/>
      <w:szCs w:val="20"/>
      <w:lang w:val="en-CA" w:eastAsia="en-CA" w:bidi="en-CA"/>
    </w:rPr>
  </w:style>
  <w:style w:type="paragraph" w:styleId="BalloonText">
    <w:name w:val="Balloon Text"/>
    <w:basedOn w:val="Normal"/>
    <w:link w:val="BalloonTextChar"/>
    <w:uiPriority w:val="99"/>
    <w:semiHidden/>
    <w:unhideWhenUsed/>
    <w:rsid w:val="003367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7B8"/>
    <w:rPr>
      <w:rFonts w:ascii="Segoe UI" w:eastAsia="Calibri" w:hAnsi="Segoe UI" w:cs="Segoe UI"/>
      <w:sz w:val="18"/>
      <w:szCs w:val="18"/>
      <w:lang w:val="en-CA" w:eastAsia="en-CA" w:bidi="en-CA"/>
    </w:rPr>
  </w:style>
  <w:style w:type="character" w:styleId="Hyperlink">
    <w:name w:val="Hyperlink"/>
    <w:basedOn w:val="DefaultParagraphFont"/>
    <w:uiPriority w:val="99"/>
    <w:semiHidden/>
    <w:unhideWhenUsed/>
    <w:rsid w:val="00901BF8"/>
    <w:rPr>
      <w:color w:val="0000FF"/>
      <w:u w:val="single"/>
    </w:rPr>
  </w:style>
  <w:style w:type="paragraph" w:styleId="Header">
    <w:name w:val="header"/>
    <w:basedOn w:val="Normal"/>
    <w:link w:val="HeaderChar"/>
    <w:uiPriority w:val="99"/>
    <w:unhideWhenUsed/>
    <w:rsid w:val="00661266"/>
    <w:pPr>
      <w:tabs>
        <w:tab w:val="center" w:pos="4680"/>
        <w:tab w:val="right" w:pos="9360"/>
      </w:tabs>
    </w:pPr>
  </w:style>
  <w:style w:type="character" w:customStyle="1" w:styleId="HeaderChar">
    <w:name w:val="Header Char"/>
    <w:basedOn w:val="DefaultParagraphFont"/>
    <w:link w:val="Header"/>
    <w:uiPriority w:val="99"/>
    <w:rsid w:val="00661266"/>
    <w:rPr>
      <w:rFonts w:ascii="Calibri" w:eastAsia="Calibri" w:hAnsi="Calibri" w:cs="Calibri"/>
      <w:lang w:val="en-CA" w:eastAsia="en-CA" w:bidi="en-CA"/>
    </w:rPr>
  </w:style>
  <w:style w:type="paragraph" w:styleId="Footer">
    <w:name w:val="footer"/>
    <w:basedOn w:val="Normal"/>
    <w:link w:val="FooterChar"/>
    <w:uiPriority w:val="99"/>
    <w:unhideWhenUsed/>
    <w:rsid w:val="00661266"/>
    <w:pPr>
      <w:tabs>
        <w:tab w:val="center" w:pos="4680"/>
        <w:tab w:val="right" w:pos="9360"/>
      </w:tabs>
    </w:pPr>
  </w:style>
  <w:style w:type="character" w:customStyle="1" w:styleId="FooterChar">
    <w:name w:val="Footer Char"/>
    <w:basedOn w:val="DefaultParagraphFont"/>
    <w:link w:val="Footer"/>
    <w:uiPriority w:val="99"/>
    <w:rsid w:val="00661266"/>
    <w:rPr>
      <w:rFonts w:ascii="Calibri" w:eastAsia="Calibri" w:hAnsi="Calibri" w:cs="Calibri"/>
      <w:lang w:val="en-CA" w:eastAsia="en-CA" w:bidi="en-CA"/>
    </w:rPr>
  </w:style>
  <w:style w:type="paragraph" w:styleId="Revision">
    <w:name w:val="Revision"/>
    <w:hidden/>
    <w:uiPriority w:val="99"/>
    <w:semiHidden/>
    <w:rsid w:val="00977FCC"/>
    <w:pPr>
      <w:widowControl/>
      <w:autoSpaceDE/>
      <w:autoSpaceDN/>
    </w:pPr>
    <w:rPr>
      <w:rFonts w:ascii="Calibri" w:eastAsia="Calibri" w:hAnsi="Calibri" w:cs="Calibri"/>
      <w:lang w:val="en-CA" w:eastAsia="en-CA" w:bidi="en-CA"/>
    </w:rPr>
  </w:style>
  <w:style w:type="character" w:customStyle="1" w:styleId="Heading3Char">
    <w:name w:val="Heading 3 Char"/>
    <w:basedOn w:val="DefaultParagraphFont"/>
    <w:link w:val="Heading3"/>
    <w:uiPriority w:val="9"/>
    <w:semiHidden/>
    <w:rsid w:val="00761BF2"/>
    <w:rPr>
      <w:rFonts w:asciiTheme="majorHAnsi" w:eastAsiaTheme="majorEastAsia" w:hAnsiTheme="majorHAnsi" w:cstheme="majorBidi"/>
      <w:color w:val="243F60" w:themeColor="accent1" w:themeShade="7F"/>
      <w:sz w:val="24"/>
      <w:szCs w:val="24"/>
      <w:lang w:val="en-CA" w:eastAsia="en-CA" w:bidi="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9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hics.gc.ca/eng/policy-politique_tcps2-eptc2_20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81D9F-9869-4F25-BF42-01A39E83C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3699</Words>
  <Characters>21090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Royal Ottawa Health Care Group</Company>
  <LinksUpToDate>false</LinksUpToDate>
  <CharactersWithSpaces>24740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 TERMS OF rEFERENCE, SEPTEMBEr 28, 2020</dc:creator>
  <cp:lastModifiedBy>Microsoft Office User</cp:lastModifiedBy>
  <cp:revision>3</cp:revision>
  <dcterms:created xsi:type="dcterms:W3CDTF">2025-04-30T14:42:00Z</dcterms:created>
  <dcterms:modified xsi:type="dcterms:W3CDTF">2025-04-30T14:49:00Z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2021-04-20T00:00:00Z</vt:filetime>
  </property>
  <property fmtid="{D5CDD505-2E9C-101B-9397-08002B2CF9AE}" pid="3" name="Creator">
    <vt:lpwstr>Acrobat PDFMaker 20 for Word</vt:lpwstr>
  </property>
  <property fmtid="{D5CDD505-2E9C-101B-9397-08002B2CF9AE}" pid="4" name="LastSaved">
    <vt:filetime>2023-10-30T00:00:00Z</vt:filetime>
  </property>
</Properties>
</file>